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D8BE0F" w14:textId="71F1C2EB" w:rsidR="00757826" w:rsidRPr="008F786B" w:rsidRDefault="00757826" w:rsidP="0075782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Pr="008F786B">
        <w:rPr>
          <w:rFonts w:ascii="Arial" w:eastAsia="SimSun" w:hAnsi="Arial" w:cs="Times New Roman"/>
          <w:b/>
          <w:sz w:val="24"/>
          <w:szCs w:val="20"/>
        </w:rPr>
        <w:t>WG4 Meeting #113</w:t>
      </w:r>
      <w:r w:rsidRPr="008F786B">
        <w:rPr>
          <w:rFonts w:ascii="Arial" w:eastAsia="SimSun" w:hAnsi="Arial" w:cs="Times New Roman"/>
          <w:b/>
          <w:bCs/>
          <w:sz w:val="24"/>
          <w:szCs w:val="20"/>
        </w:rPr>
        <w:tab/>
      </w:r>
      <w:r w:rsidR="00693123" w:rsidRPr="00693123">
        <w:rPr>
          <w:rFonts w:ascii="Arial" w:eastAsia="SimSun" w:hAnsi="Arial" w:cs="Times New Roman"/>
          <w:b/>
          <w:bCs/>
          <w:sz w:val="24"/>
          <w:szCs w:val="20"/>
          <w:lang w:eastAsia="ja-JP"/>
        </w:rPr>
        <w:t>R4-2419630</w:t>
      </w:r>
    </w:p>
    <w:p w14:paraId="6E001D6A" w14:textId="77777777" w:rsidR="00757826" w:rsidRPr="008F786B" w:rsidRDefault="00757826" w:rsidP="0075782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F786B">
        <w:rPr>
          <w:rFonts w:ascii="Arial" w:eastAsia="SimSun" w:hAnsi="Arial" w:cs="Times New Roman"/>
          <w:b/>
          <w:sz w:val="24"/>
          <w:szCs w:val="20"/>
        </w:rPr>
        <w:t>Orlando, US, Nov 18</w:t>
      </w:r>
      <w:r>
        <w:rPr>
          <w:rFonts w:ascii="Arial" w:eastAsia="SimSun" w:hAnsi="Arial" w:cs="Times New Roman"/>
          <w:b/>
          <w:sz w:val="24"/>
          <w:szCs w:val="20"/>
        </w:rPr>
        <w:t>th</w:t>
      </w:r>
      <w:r w:rsidRPr="008F786B">
        <w:rPr>
          <w:rFonts w:ascii="Arial" w:eastAsia="SimSun" w:hAnsi="Arial" w:cs="Times New Roman"/>
          <w:b/>
          <w:sz w:val="24"/>
          <w:szCs w:val="20"/>
        </w:rPr>
        <w:t xml:space="preserve"> – Nov 22</w:t>
      </w:r>
      <w:r>
        <w:rPr>
          <w:rFonts w:ascii="Arial" w:eastAsia="SimSun" w:hAnsi="Arial" w:cs="Times New Roman"/>
          <w:b/>
          <w:sz w:val="24"/>
          <w:szCs w:val="20"/>
        </w:rPr>
        <w:t>nd</w:t>
      </w:r>
      <w:r w:rsidRPr="008F786B">
        <w:rPr>
          <w:rFonts w:ascii="Arial" w:eastAsia="SimSun" w:hAnsi="Arial" w:cs="Times New Roman"/>
          <w:b/>
          <w:sz w:val="24"/>
          <w:szCs w:val="20"/>
        </w:rPr>
        <w:t>, 2024</w:t>
      </w:r>
    </w:p>
    <w:bookmarkEnd w:id="0"/>
    <w:bookmarkEnd w:id="1"/>
    <w:p w14:paraId="522AE8BF" w14:textId="77777777" w:rsidR="00841BCD" w:rsidRPr="0075782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32FBC5B"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6959C825" w14:textId="46900210" w:rsidR="00841BCD" w:rsidRPr="00F6505C" w:rsidRDefault="00841BCD" w:rsidP="00841BCD">
      <w:pPr>
        <w:ind w:left="1985" w:hanging="1985"/>
        <w:rPr>
          <w:rFonts w:ascii="Arial" w:eastAsia="Calibri" w:hAnsi="Arial" w:cs="Arial"/>
          <w:b/>
          <w:bCs/>
          <w:sz w:val="24"/>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2F718C">
        <w:rPr>
          <w:rFonts w:ascii="Arial" w:eastAsia="Calibri" w:hAnsi="Arial" w:cs="Arial"/>
          <w:b/>
          <w:bCs/>
          <w:sz w:val="24"/>
          <w:lang w:val="en-US"/>
        </w:rPr>
        <w:t>Measurement requirements for less than 5 MHz operation in NTN</w:t>
      </w:r>
    </w:p>
    <w:p w14:paraId="34603285" w14:textId="47A3FBE4"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88544D">
        <w:rPr>
          <w:rFonts w:ascii="Arial" w:eastAsia="MS Mincho" w:hAnsi="Arial" w:cs="Arial"/>
          <w:b/>
          <w:bCs/>
          <w:sz w:val="24"/>
          <w:szCs w:val="20"/>
          <w:lang w:val="en-US"/>
        </w:rPr>
        <w:t>7</w:t>
      </w:r>
      <w:r w:rsidR="006410A2" w:rsidRPr="00A91F45">
        <w:rPr>
          <w:rFonts w:ascii="Arial" w:eastAsia="MS Mincho" w:hAnsi="Arial" w:cs="Arial"/>
          <w:b/>
          <w:bCs/>
          <w:sz w:val="24"/>
          <w:szCs w:val="20"/>
          <w:lang w:val="en-US"/>
        </w:rPr>
        <w:t>.</w:t>
      </w:r>
      <w:r w:rsidR="0078713A" w:rsidRPr="00A91F45">
        <w:rPr>
          <w:rFonts w:ascii="Arial" w:eastAsia="MS Mincho" w:hAnsi="Arial" w:cs="Arial"/>
          <w:b/>
          <w:bCs/>
          <w:sz w:val="24"/>
          <w:szCs w:val="20"/>
          <w:lang w:val="en-US"/>
        </w:rPr>
        <w:t>8.3.4</w:t>
      </w:r>
    </w:p>
    <w:p w14:paraId="697EF48D"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678B611" w14:textId="77777777" w:rsidR="00E323E9" w:rsidRPr="00614DD8" w:rsidRDefault="00E323E9" w:rsidP="00841BCD">
      <w:pPr>
        <w:tabs>
          <w:tab w:val="left" w:pos="1985"/>
        </w:tabs>
        <w:rPr>
          <w:rFonts w:ascii="Arial" w:eastAsia="Calibri" w:hAnsi="Arial" w:cs="Arial"/>
          <w:b/>
          <w:bCs/>
          <w:sz w:val="24"/>
          <w:lang w:val="en-US"/>
        </w:rPr>
      </w:pPr>
    </w:p>
    <w:p w14:paraId="1FED72C9"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3593CDE" w14:textId="1F5B8BF8" w:rsidR="00381F95" w:rsidRDefault="0078713A" w:rsidP="005C23A4">
      <w:pPr>
        <w:rPr>
          <w:lang w:val="en-US"/>
        </w:rPr>
      </w:pPr>
      <w:r>
        <w:rPr>
          <w:lang w:val="en-US"/>
        </w:rPr>
        <w:t xml:space="preserve">In RAN #103, RAN plenary has approved the RAN 4 WI for NTN features </w:t>
      </w:r>
      <w:r>
        <w:rPr>
          <w:lang w:val="en-US"/>
        </w:rPr>
        <w:fldChar w:fldCharType="begin"/>
      </w:r>
      <w:r>
        <w:rPr>
          <w:lang w:val="en-US"/>
        </w:rPr>
        <w:instrText xml:space="preserve"> REF _Ref173963276 \r \h </w:instrText>
      </w:r>
      <w:r>
        <w:rPr>
          <w:lang w:val="en-US"/>
        </w:rPr>
      </w:r>
      <w:r>
        <w:rPr>
          <w:lang w:val="en-US"/>
        </w:rPr>
        <w:fldChar w:fldCharType="separate"/>
      </w:r>
      <w:r>
        <w:rPr>
          <w:lang w:val="en-US"/>
        </w:rPr>
        <w:t>[1]</w:t>
      </w:r>
      <w:r>
        <w:rPr>
          <w:lang w:val="en-US"/>
        </w:rPr>
        <w:fldChar w:fldCharType="end"/>
      </w:r>
      <w:r>
        <w:rPr>
          <w:lang w:val="en-US"/>
        </w:rPr>
        <w:t xml:space="preserve">. The WI was then updated in RAN #104 </w:t>
      </w:r>
      <w:r>
        <w:rPr>
          <w:lang w:val="en-US"/>
        </w:rPr>
        <w:fldChar w:fldCharType="begin"/>
      </w:r>
      <w:r>
        <w:rPr>
          <w:lang w:val="en-US"/>
        </w:rPr>
        <w:instrText xml:space="preserve"> REF _Ref173963266 \r \h </w:instrText>
      </w:r>
      <w:r>
        <w:rPr>
          <w:lang w:val="en-US"/>
        </w:rPr>
      </w:r>
      <w:r>
        <w:rPr>
          <w:lang w:val="en-US"/>
        </w:rPr>
        <w:fldChar w:fldCharType="separate"/>
      </w:r>
      <w:r>
        <w:rPr>
          <w:lang w:val="en-US"/>
        </w:rPr>
        <w:t>[2]</w:t>
      </w:r>
      <w:r>
        <w:rPr>
          <w:lang w:val="en-US"/>
        </w:rPr>
        <w:fldChar w:fldCharType="end"/>
      </w:r>
      <w:r>
        <w:rPr>
          <w:lang w:val="en-US"/>
        </w:rPr>
        <w:t>. One of the topics for this WI is the operation of NTN in less than 5 MHz whose objectives are presented below:</w:t>
      </w:r>
    </w:p>
    <w:p w14:paraId="7A03D950" w14:textId="57573899" w:rsidR="00A520D9" w:rsidRDefault="00A520D9" w:rsidP="005C23A4">
      <w:pPr>
        <w:rPr>
          <w:lang w:val="en-US"/>
        </w:rPr>
      </w:pPr>
    </w:p>
    <w:tbl>
      <w:tblPr>
        <w:tblStyle w:val="TableGrid"/>
        <w:tblW w:w="0" w:type="auto"/>
        <w:tblLook w:val="04A0" w:firstRow="1" w:lastRow="0" w:firstColumn="1" w:lastColumn="0" w:noHBand="0" w:noVBand="1"/>
      </w:tblPr>
      <w:tblGrid>
        <w:gridCol w:w="9617"/>
      </w:tblGrid>
      <w:tr w:rsidR="00D15EE5" w14:paraId="64F95B03" w14:textId="77777777" w:rsidTr="00D15EE5">
        <w:tc>
          <w:tcPr>
            <w:tcW w:w="9617" w:type="dxa"/>
          </w:tcPr>
          <w:p w14:paraId="72FE9703" w14:textId="77777777" w:rsidR="0078713A" w:rsidRPr="0078713A" w:rsidRDefault="0078713A" w:rsidP="0078713A">
            <w:pPr>
              <w:spacing w:line="276" w:lineRule="auto"/>
              <w:jc w:val="both"/>
              <w:rPr>
                <w:rFonts w:ascii="Yu Mincho" w:eastAsia="Yu Mincho" w:hAnsi="Yu Mincho" w:cs="Times New Roman"/>
                <w:b/>
                <w:kern w:val="2"/>
                <w:sz w:val="24"/>
                <w:szCs w:val="24"/>
                <w:lang w:eastAsia="zh-CN"/>
                <w14:ligatures w14:val="standardContextual"/>
              </w:rPr>
            </w:pPr>
            <w:r w:rsidRPr="0078713A">
              <w:rPr>
                <w:rFonts w:ascii="Yu Mincho" w:eastAsia="Yu Mincho" w:hAnsi="Yu Mincho" w:cs="Times New Roman" w:hint="eastAsia"/>
                <w:b/>
                <w:kern w:val="2"/>
                <w:sz w:val="24"/>
                <w:szCs w:val="24"/>
                <w:lang w:eastAsia="zh-CN"/>
                <w14:ligatures w14:val="standardContextual"/>
              </w:rPr>
              <w:t>Less than 5MHz for NTN</w:t>
            </w:r>
          </w:p>
          <w:p w14:paraId="2BF45291" w14:textId="77777777" w:rsidR="0078713A" w:rsidRPr="0078713A" w:rsidRDefault="0078713A" w:rsidP="0078713A">
            <w:pPr>
              <w:widowControl w:val="0"/>
              <w:numPr>
                <w:ilvl w:val="0"/>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system parameters for channel bandwidth of less than 5 MHz for NR-NTN (NR based Non-Terrestrial Networks) in FR1-NTN bands</w:t>
            </w:r>
          </w:p>
          <w:p w14:paraId="57103D8C" w14:textId="77777777" w:rsidR="0078713A" w:rsidRPr="0078713A" w:rsidRDefault="0078713A" w:rsidP="0078713A">
            <w:pPr>
              <w:widowControl w:val="0"/>
              <w:numPr>
                <w:ilvl w:val="1"/>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Consider the NR-NTN bands n255, n256, and n254</w:t>
            </w:r>
          </w:p>
          <w:p w14:paraId="2515F888" w14:textId="77777777" w:rsidR="0078713A" w:rsidRPr="0078713A" w:rsidRDefault="0078713A" w:rsidP="0078713A">
            <w:pPr>
              <w:widowControl w:val="0"/>
              <w:numPr>
                <w:ilvl w:val="1"/>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Add less than 5MHz channel bandwidth</w:t>
            </w:r>
          </w:p>
          <w:p w14:paraId="56EC369F" w14:textId="77777777" w:rsidR="0078713A" w:rsidRPr="0078713A" w:rsidRDefault="0078713A" w:rsidP="0078713A">
            <w:pPr>
              <w:widowControl w:val="0"/>
              <w:numPr>
                <w:ilvl w:val="2"/>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 xml:space="preserve"> 3MHz with the RAN1 design in Rel-18</w:t>
            </w:r>
          </w:p>
          <w:p w14:paraId="3EF85AF6" w14:textId="77777777" w:rsidR="0078713A" w:rsidRPr="0078713A" w:rsidRDefault="0078713A" w:rsidP="0078713A">
            <w:pPr>
              <w:widowControl w:val="0"/>
              <w:numPr>
                <w:ilvl w:val="1"/>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Investigate and if necessary, specify the additional synchronization (sync) raster(s) for the additional channel bandwidth</w:t>
            </w:r>
          </w:p>
          <w:p w14:paraId="58C66A1B" w14:textId="77777777" w:rsidR="0078713A" w:rsidRPr="0078713A" w:rsidRDefault="0078713A" w:rsidP="0078713A">
            <w:pPr>
              <w:widowControl w:val="0"/>
              <w:numPr>
                <w:ilvl w:val="2"/>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Leverage the work on less than 5MHz for TN</w:t>
            </w:r>
          </w:p>
          <w:p w14:paraId="4EE16660" w14:textId="77777777" w:rsidR="0078713A" w:rsidRPr="0078713A" w:rsidRDefault="0078713A" w:rsidP="0078713A">
            <w:pPr>
              <w:widowControl w:val="0"/>
              <w:numPr>
                <w:ilvl w:val="1"/>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Note: no RAN1 impact is expected</w:t>
            </w:r>
          </w:p>
          <w:p w14:paraId="38213F2D" w14:textId="77777777" w:rsidR="0078713A" w:rsidRPr="0078713A" w:rsidRDefault="0078713A" w:rsidP="0078713A">
            <w:pPr>
              <w:widowControl w:val="0"/>
              <w:numPr>
                <w:ilvl w:val="0"/>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necessary SAN RF core requirements for NR-NTN in FR1-NTN bands</w:t>
            </w:r>
          </w:p>
          <w:p w14:paraId="6E817411" w14:textId="77777777" w:rsidR="0078713A" w:rsidRPr="0078713A" w:rsidRDefault="0078713A" w:rsidP="0078713A">
            <w:pPr>
              <w:widowControl w:val="0"/>
              <w:numPr>
                <w:ilvl w:val="0"/>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necessary NR-NTN UE RF core requirements for less than 5 MHz for NR-NTN in FR1-NTN bands</w:t>
            </w:r>
          </w:p>
          <w:p w14:paraId="774E9E64" w14:textId="77777777" w:rsidR="0078713A" w:rsidRPr="0078713A" w:rsidRDefault="0078713A" w:rsidP="0078713A">
            <w:pPr>
              <w:widowControl w:val="0"/>
              <w:numPr>
                <w:ilvl w:val="1"/>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Focus on power class 3 (PC3) for Tx RF requirements</w:t>
            </w:r>
          </w:p>
          <w:p w14:paraId="1E1F6A07" w14:textId="77777777" w:rsidR="0078713A" w:rsidRPr="00757826" w:rsidRDefault="0078713A" w:rsidP="0078713A">
            <w:pPr>
              <w:widowControl w:val="0"/>
              <w:numPr>
                <w:ilvl w:val="0"/>
                <w:numId w:val="27"/>
              </w:numPr>
              <w:spacing w:line="276" w:lineRule="auto"/>
              <w:rPr>
                <w:rFonts w:eastAsia="Yu Mincho" w:cs="Times New Roman"/>
                <w:kern w:val="2"/>
                <w:szCs w:val="20"/>
                <w:highlight w:val="yellow"/>
                <w:lang w:val="en-US" w:eastAsia="zh-CN"/>
                <w14:ligatures w14:val="standardContextual"/>
              </w:rPr>
            </w:pPr>
            <w:r w:rsidRPr="00757826">
              <w:rPr>
                <w:rFonts w:eastAsia="Yu Mincho" w:cs="Times New Roman"/>
                <w:kern w:val="2"/>
                <w:szCs w:val="20"/>
                <w:highlight w:val="yellow"/>
                <w:lang w:val="en-US" w:eastAsia="zh-CN"/>
                <w14:ligatures w14:val="standardContextual"/>
              </w:rPr>
              <w:t>Specify the necessary RRM core requirements for less than 5 MHz for NR-NTN in FR1-NTN bands</w:t>
            </w:r>
          </w:p>
          <w:p w14:paraId="36334039" w14:textId="77777777" w:rsidR="0078713A" w:rsidRPr="0078713A" w:rsidRDefault="0078713A" w:rsidP="0078713A">
            <w:pPr>
              <w:widowControl w:val="0"/>
              <w:numPr>
                <w:ilvl w:val="0"/>
                <w:numId w:val="27"/>
              </w:numPr>
              <w:spacing w:after="180"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necessary signaling to support the above objectives</w:t>
            </w:r>
          </w:p>
          <w:p w14:paraId="20D34B38" w14:textId="77777777" w:rsidR="00D15EE5" w:rsidRDefault="00D15EE5" w:rsidP="005C23A4">
            <w:pPr>
              <w:rPr>
                <w:lang w:val="en-US"/>
              </w:rPr>
            </w:pPr>
          </w:p>
        </w:tc>
      </w:tr>
    </w:tbl>
    <w:p w14:paraId="215E925D" w14:textId="77777777" w:rsidR="00D15EE5" w:rsidRDefault="00D15EE5" w:rsidP="005C23A4">
      <w:pPr>
        <w:rPr>
          <w:lang w:val="en-US"/>
        </w:rPr>
      </w:pPr>
    </w:p>
    <w:p w14:paraId="00B4B8CB" w14:textId="7F1597D6" w:rsidR="0060543D" w:rsidRDefault="00757826" w:rsidP="005C23A4">
      <w:pPr>
        <w:rPr>
          <w:lang w:val="en-US"/>
        </w:rPr>
      </w:pPr>
      <w:r>
        <w:rPr>
          <w:lang w:val="en-US"/>
        </w:rPr>
        <w:t xml:space="preserve">Currently, RAN4 has agreed – in what concerns RRM requirements – to reutilize for the most part the proper modifications the pre-existing requirements utilized for operation with less than 5MHz in TN to the operation  with such bandwidths in NR-NTN. In the WF approved in the most recent meeting, </w:t>
      </w:r>
      <w:r w:rsidR="007C3121">
        <w:rPr>
          <w:lang w:val="en-US"/>
        </w:rPr>
        <w:t>very few</w:t>
      </w:r>
      <w:r>
        <w:rPr>
          <w:lang w:val="en-US"/>
        </w:rPr>
        <w:t xml:space="preserve"> open issue</w:t>
      </w:r>
      <w:r w:rsidR="007C3121">
        <w:rPr>
          <w:lang w:val="en-US"/>
        </w:rPr>
        <w:t>s</w:t>
      </w:r>
      <w:r>
        <w:rPr>
          <w:lang w:val="en-US"/>
        </w:rPr>
        <w:t xml:space="preserve"> </w:t>
      </w:r>
      <w:r w:rsidR="007C3121">
        <w:rPr>
          <w:lang w:val="en-US"/>
        </w:rPr>
        <w:t>are</w:t>
      </w:r>
      <w:r>
        <w:rPr>
          <w:lang w:val="en-US"/>
        </w:rPr>
        <w:t xml:space="preserve"> presented</w:t>
      </w:r>
      <w:r w:rsidR="007C3121">
        <w:rPr>
          <w:lang w:val="en-US"/>
        </w:rPr>
        <w:t>, including, but not limited to</w:t>
      </w:r>
      <w:r>
        <w:rPr>
          <w:lang w:val="en-US"/>
        </w:rPr>
        <w:t>:</w:t>
      </w:r>
    </w:p>
    <w:tbl>
      <w:tblPr>
        <w:tblStyle w:val="TableGrid"/>
        <w:tblW w:w="0" w:type="auto"/>
        <w:tblLook w:val="04A0" w:firstRow="1" w:lastRow="0" w:firstColumn="1" w:lastColumn="0" w:noHBand="0" w:noVBand="1"/>
      </w:tblPr>
      <w:tblGrid>
        <w:gridCol w:w="9617"/>
      </w:tblGrid>
      <w:tr w:rsidR="00757826" w14:paraId="425EE644" w14:textId="77777777" w:rsidTr="00757826">
        <w:tc>
          <w:tcPr>
            <w:tcW w:w="9617" w:type="dxa"/>
          </w:tcPr>
          <w:p w14:paraId="40EAEF13" w14:textId="77777777" w:rsidR="007C3121" w:rsidRPr="007C3121" w:rsidRDefault="007C3121" w:rsidP="007C3121">
            <w:pPr>
              <w:keepNext/>
              <w:keepLines/>
              <w:numPr>
                <w:ilvl w:val="3"/>
                <w:numId w:val="0"/>
              </w:numPr>
              <w:spacing w:before="120" w:after="180"/>
              <w:ind w:left="864" w:hanging="864"/>
              <w:outlineLvl w:val="3"/>
              <w:rPr>
                <w:rFonts w:eastAsia="SimSun" w:cs="Times New Roman"/>
                <w:szCs w:val="20"/>
                <w:lang w:val="sv-SE" w:eastAsia="zh-CN"/>
              </w:rPr>
            </w:pPr>
            <w:r w:rsidRPr="007C3121">
              <w:rPr>
                <w:rFonts w:eastAsia="SimSun" w:cs="Times New Roman"/>
                <w:szCs w:val="20"/>
                <w:lang w:val="sv-SE" w:eastAsia="zh-CN"/>
              </w:rPr>
              <w:lastRenderedPageBreak/>
              <w:t>Issue 1-2-1-2 CHO delay</w:t>
            </w:r>
          </w:p>
          <w:p w14:paraId="0FE285AB" w14:textId="77777777" w:rsidR="007C3121" w:rsidRPr="007C3121" w:rsidRDefault="007C3121" w:rsidP="007C3121">
            <w:pPr>
              <w:keepNext/>
              <w:keepLines/>
              <w:numPr>
                <w:ilvl w:val="3"/>
                <w:numId w:val="0"/>
              </w:numPr>
              <w:spacing w:before="120" w:after="180"/>
              <w:ind w:left="864" w:hanging="864"/>
              <w:outlineLvl w:val="3"/>
              <w:rPr>
                <w:rFonts w:eastAsia="SimSun" w:cs="Times New Roman"/>
                <w:szCs w:val="20"/>
                <w:lang w:eastAsia="zh-CN"/>
              </w:rPr>
            </w:pPr>
            <w:r w:rsidRPr="007C3121">
              <w:rPr>
                <w:rFonts w:eastAsia="SimSun" w:cs="Times New Roman"/>
                <w:szCs w:val="20"/>
                <w:lang w:eastAsia="zh-CN"/>
              </w:rPr>
              <w:t>Agreements/ Way-forward:</w:t>
            </w:r>
          </w:p>
          <w:p w14:paraId="002EBBD4" w14:textId="77777777" w:rsidR="007C3121" w:rsidRPr="007C3121" w:rsidRDefault="007C3121" w:rsidP="007C3121">
            <w:pPr>
              <w:keepNext/>
              <w:keepLines/>
              <w:numPr>
                <w:ilvl w:val="0"/>
                <w:numId w:val="31"/>
              </w:numPr>
              <w:spacing w:before="120" w:after="180"/>
              <w:ind w:leftChars="188" w:left="736"/>
              <w:outlineLvl w:val="3"/>
              <w:rPr>
                <w:rFonts w:eastAsia="SimSun" w:cs="Times New Roman"/>
                <w:szCs w:val="20"/>
                <w:highlight w:val="green"/>
                <w:lang w:eastAsia="zh-CN"/>
              </w:rPr>
            </w:pPr>
            <w:r w:rsidRPr="007C3121">
              <w:rPr>
                <w:rFonts w:eastAsia="SimSun" w:cs="Times New Roman"/>
                <w:b/>
                <w:bCs/>
                <w:i/>
                <w:iCs/>
                <w:szCs w:val="20"/>
                <w:highlight w:val="green"/>
                <w:lang w:eastAsia="zh-CN"/>
              </w:rPr>
              <w:t>for</w:t>
            </w:r>
            <w:r w:rsidRPr="007C3121">
              <w:rPr>
                <w:rFonts w:eastAsia="SimSun" w:cs="Times New Roman"/>
                <w:szCs w:val="20"/>
                <w:highlight w:val="green"/>
                <w:lang w:eastAsia="zh-CN"/>
              </w:rPr>
              <w:t xml:space="preserve"> CHO without L3 measurement: </w:t>
            </w:r>
          </w:p>
          <w:p w14:paraId="1BE86B2A" w14:textId="77777777" w:rsidR="007C3121" w:rsidRPr="007C3121" w:rsidRDefault="007C3121" w:rsidP="007C3121">
            <w:pPr>
              <w:keepNext/>
              <w:keepLines/>
              <w:numPr>
                <w:ilvl w:val="1"/>
                <w:numId w:val="31"/>
              </w:numPr>
              <w:spacing w:before="120" w:after="180"/>
              <w:outlineLvl w:val="3"/>
              <w:rPr>
                <w:rFonts w:eastAsia="SimSun" w:cs="Times New Roman"/>
                <w:bCs/>
                <w:iCs/>
                <w:szCs w:val="20"/>
                <w:highlight w:val="green"/>
                <w:lang w:eastAsia="zh-CN"/>
              </w:rPr>
            </w:pPr>
            <w:r w:rsidRPr="007C3121">
              <w:rPr>
                <w:rFonts w:eastAsia="SimSun" w:cs="Times New Roman"/>
                <w:bCs/>
                <w:iCs/>
                <w:szCs w:val="20"/>
                <w:highlight w:val="green"/>
                <w:lang w:eastAsia="zh-CN"/>
              </w:rPr>
              <w:t>T</w:t>
            </w:r>
            <w:r w:rsidRPr="007C3121">
              <w:rPr>
                <w:rFonts w:eastAsia="SimSun" w:cs="Times New Roman"/>
                <w:bCs/>
                <w:iCs/>
                <w:szCs w:val="20"/>
                <w:highlight w:val="green"/>
                <w:vertAlign w:val="subscript"/>
                <w:lang w:eastAsia="zh-CN"/>
              </w:rPr>
              <w:t>∆</w:t>
            </w:r>
            <w:r w:rsidRPr="007C3121">
              <w:rPr>
                <w:rFonts w:eastAsia="SimSun" w:cs="Times New Roman"/>
                <w:bCs/>
                <w:iCs/>
                <w:szCs w:val="20"/>
                <w:highlight w:val="green"/>
                <w:lang w:eastAsia="zh-CN"/>
              </w:rPr>
              <w:t xml:space="preserve"> in CHO requirement for NTN in exiting TS38.133 shall be extended to [3 Trs] </w:t>
            </w:r>
          </w:p>
          <w:p w14:paraId="3E63F81C" w14:textId="77777777" w:rsidR="007C3121" w:rsidRPr="007C3121" w:rsidRDefault="007C3121" w:rsidP="007C3121">
            <w:pPr>
              <w:keepNext/>
              <w:keepLines/>
              <w:numPr>
                <w:ilvl w:val="0"/>
                <w:numId w:val="31"/>
              </w:numPr>
              <w:spacing w:before="120" w:after="180"/>
              <w:ind w:leftChars="188" w:left="736"/>
              <w:outlineLvl w:val="3"/>
              <w:rPr>
                <w:rFonts w:eastAsia="SimSun" w:cs="Times New Roman"/>
                <w:szCs w:val="20"/>
                <w:lang w:eastAsia="zh-CN"/>
              </w:rPr>
            </w:pPr>
            <w:r w:rsidRPr="007C3121">
              <w:rPr>
                <w:rFonts w:eastAsia="SimSun" w:cs="Times New Roman"/>
                <w:szCs w:val="20"/>
                <w:lang w:eastAsia="zh-CN"/>
              </w:rPr>
              <w:t xml:space="preserve">FFS on for CHO with L3 measurement: </w:t>
            </w:r>
          </w:p>
          <w:p w14:paraId="1C3227D6" w14:textId="77777777" w:rsidR="007C3121" w:rsidRPr="007C3121" w:rsidRDefault="007C3121" w:rsidP="007C3121">
            <w:pPr>
              <w:keepNext/>
              <w:keepLines/>
              <w:numPr>
                <w:ilvl w:val="1"/>
                <w:numId w:val="31"/>
              </w:numPr>
              <w:spacing w:before="120" w:after="180"/>
              <w:outlineLvl w:val="3"/>
              <w:rPr>
                <w:rFonts w:eastAsia="SimSun" w:cs="Times New Roman"/>
                <w:szCs w:val="20"/>
                <w:lang w:eastAsia="zh-CN"/>
              </w:rPr>
            </w:pPr>
            <w:r w:rsidRPr="007C3121">
              <w:rPr>
                <w:rFonts w:eastAsia="SimSun" w:cs="Times New Roman"/>
                <w:bCs/>
                <w:iCs/>
                <w:szCs w:val="20"/>
                <w:lang w:eastAsia="zh-CN"/>
              </w:rPr>
              <w:t xml:space="preserve">Tmeasure which is same as the definition for </w:t>
            </w:r>
            <w:r w:rsidRPr="007C3121">
              <w:rPr>
                <w:rFonts w:eastAsia="SimSun" w:cs="Times New Roman"/>
                <w:bCs/>
                <w:szCs w:val="20"/>
                <w:lang w:eastAsia="zh-CN"/>
              </w:rPr>
              <w:t>Tidentify_intra_with_index and Tidentify_inter_with_index</w:t>
            </w:r>
            <w:r w:rsidRPr="007C3121">
              <w:rPr>
                <w:rFonts w:eastAsia="SimSun" w:cs="Times New Roman"/>
                <w:bCs/>
                <w:iCs/>
                <w:szCs w:val="20"/>
                <w:lang w:eastAsia="zh-CN"/>
              </w:rPr>
              <w:t xml:space="preserve"> in issue 1-2-4-2 will be extended </w:t>
            </w:r>
          </w:p>
          <w:p w14:paraId="4B2EF22A" w14:textId="77777777" w:rsidR="007C3121" w:rsidRPr="007C3121" w:rsidRDefault="007C3121" w:rsidP="007C3121">
            <w:pPr>
              <w:keepNext/>
              <w:keepLines/>
              <w:numPr>
                <w:ilvl w:val="1"/>
                <w:numId w:val="31"/>
              </w:numPr>
              <w:spacing w:before="120" w:after="180"/>
              <w:outlineLvl w:val="3"/>
              <w:rPr>
                <w:rFonts w:eastAsia="SimSun" w:cs="Times New Roman"/>
                <w:szCs w:val="20"/>
                <w:lang w:eastAsia="zh-CN"/>
              </w:rPr>
            </w:pPr>
            <w:r w:rsidRPr="007C3121">
              <w:rPr>
                <w:rFonts w:eastAsia="SimSun" w:cs="Times New Roman"/>
                <w:bCs/>
                <w:iCs/>
                <w:szCs w:val="20"/>
                <w:lang w:eastAsia="zh-CN"/>
              </w:rPr>
              <w:t>T</w:t>
            </w:r>
            <w:r w:rsidRPr="007C3121">
              <w:rPr>
                <w:rFonts w:eastAsia="SimSun" w:cs="Times New Roman"/>
                <w:bCs/>
                <w:iCs/>
                <w:szCs w:val="20"/>
                <w:vertAlign w:val="subscript"/>
                <w:lang w:eastAsia="zh-CN"/>
              </w:rPr>
              <w:t>∆</w:t>
            </w:r>
            <w:r w:rsidRPr="007C3121">
              <w:rPr>
                <w:rFonts w:eastAsia="SimSun" w:cs="Times New Roman"/>
                <w:bCs/>
                <w:iCs/>
                <w:szCs w:val="20"/>
                <w:lang w:eastAsia="zh-CN"/>
              </w:rPr>
              <w:t xml:space="preserve"> in CHO requirement for NTN in exiting TS38.133 shall be extended to [3 Trs] </w:t>
            </w:r>
          </w:p>
          <w:p w14:paraId="72C3AE57" w14:textId="77777777" w:rsidR="007C3121" w:rsidRPr="007C3121" w:rsidRDefault="007C3121" w:rsidP="007C3121">
            <w:pPr>
              <w:keepNext/>
              <w:keepLines/>
              <w:numPr>
                <w:ilvl w:val="3"/>
                <w:numId w:val="0"/>
              </w:numPr>
              <w:spacing w:before="120" w:after="180"/>
              <w:ind w:left="864" w:hanging="864"/>
              <w:outlineLvl w:val="3"/>
              <w:rPr>
                <w:rFonts w:ascii="Arial" w:eastAsia="SimSun" w:hAnsi="Arial" w:cs="Times New Roman"/>
                <w:sz w:val="24"/>
                <w:szCs w:val="18"/>
                <w:lang w:eastAsia="zh-CN"/>
              </w:rPr>
            </w:pPr>
          </w:p>
          <w:p w14:paraId="276BEB18" w14:textId="24C69EB8" w:rsidR="007C3121" w:rsidRPr="007C3121" w:rsidRDefault="007C3121" w:rsidP="007C3121">
            <w:pPr>
              <w:keepNext/>
              <w:keepLines/>
              <w:numPr>
                <w:ilvl w:val="3"/>
                <w:numId w:val="0"/>
              </w:numPr>
              <w:spacing w:before="120" w:after="180"/>
              <w:ind w:left="864" w:hanging="864"/>
              <w:outlineLvl w:val="3"/>
              <w:rPr>
                <w:rFonts w:eastAsia="SimSun" w:cs="Times New Roman"/>
                <w:szCs w:val="20"/>
                <w:lang w:val="sv-SE" w:eastAsia="zh-CN"/>
              </w:rPr>
            </w:pPr>
            <w:r w:rsidRPr="007C3121">
              <w:rPr>
                <w:rFonts w:eastAsia="SimSun" w:cs="Times New Roman"/>
                <w:szCs w:val="20"/>
                <w:lang w:val="sv-SE" w:eastAsia="zh-CN"/>
              </w:rPr>
              <w:t>Issue 1-2-4-2: How to define the new requirements for SSB time index detection</w:t>
            </w:r>
          </w:p>
          <w:p w14:paraId="7226B8AE" w14:textId="77777777" w:rsidR="007C3121" w:rsidRPr="007C3121" w:rsidRDefault="007C3121" w:rsidP="007C3121">
            <w:pPr>
              <w:keepNext/>
              <w:keepLines/>
              <w:numPr>
                <w:ilvl w:val="3"/>
                <w:numId w:val="0"/>
              </w:numPr>
              <w:spacing w:before="120" w:after="180"/>
              <w:ind w:left="864" w:hanging="864"/>
              <w:outlineLvl w:val="3"/>
              <w:rPr>
                <w:rFonts w:eastAsia="SimSun" w:cs="Times New Roman"/>
                <w:szCs w:val="20"/>
                <w:lang w:eastAsia="zh-CN"/>
              </w:rPr>
            </w:pPr>
            <w:r w:rsidRPr="007C3121">
              <w:rPr>
                <w:rFonts w:eastAsia="SimSun" w:cs="Times New Roman"/>
                <w:szCs w:val="20"/>
                <w:lang w:eastAsia="zh-CN"/>
              </w:rPr>
              <w:t>Agreements/Wayforward</w:t>
            </w:r>
          </w:p>
          <w:p w14:paraId="5287D78E" w14:textId="77777777" w:rsidR="007C3121" w:rsidRPr="007C3121" w:rsidRDefault="007C3121" w:rsidP="007C3121">
            <w:pPr>
              <w:widowControl w:val="0"/>
              <w:numPr>
                <w:ilvl w:val="0"/>
                <w:numId w:val="31"/>
              </w:numPr>
              <w:autoSpaceDN w:val="0"/>
              <w:snapToGrid w:val="0"/>
              <w:spacing w:after="120"/>
              <w:rPr>
                <w:rFonts w:eastAsia="MS Mincho" w:cs="Times New Roman"/>
                <w:color w:val="0070C0"/>
                <w:szCs w:val="20"/>
                <w:lang w:eastAsia="zh-CN"/>
              </w:rPr>
            </w:pPr>
            <w:r w:rsidRPr="007C3121">
              <w:rPr>
                <w:rFonts w:eastAsia="MS Mincho" w:cs="Times New Roman"/>
                <w:szCs w:val="20"/>
                <w:highlight w:val="green"/>
              </w:rPr>
              <w:t>The number of SSB samples for Rel-18 NTN measurement requirements (</w:t>
            </w:r>
            <w:r w:rsidRPr="007C3121">
              <w:rPr>
                <w:rFonts w:eastAsia="MS Mincho" w:cs="Times New Roman"/>
                <w:bCs/>
                <w:szCs w:val="20"/>
                <w:highlight w:val="green"/>
              </w:rPr>
              <w:t>T</w:t>
            </w:r>
            <w:r w:rsidRPr="007C3121">
              <w:rPr>
                <w:rFonts w:eastAsia="MS Mincho" w:cs="Times New Roman"/>
                <w:bCs/>
                <w:iCs/>
                <w:szCs w:val="20"/>
                <w:highlight w:val="green"/>
                <w:vertAlign w:val="subscript"/>
              </w:rPr>
              <w:t>identify_xxx_with_index</w:t>
            </w:r>
            <w:r w:rsidRPr="007C3121">
              <w:rPr>
                <w:rFonts w:eastAsia="MS Mincho" w:cs="Times New Roman"/>
                <w:bCs/>
                <w:szCs w:val="20"/>
                <w:highlight w:val="green"/>
              </w:rPr>
              <w:t>)</w:t>
            </w:r>
            <w:r w:rsidRPr="007C3121">
              <w:rPr>
                <w:rFonts w:eastAsia="MS Mincho" w:cs="Times New Roman"/>
                <w:szCs w:val="20"/>
                <w:highlight w:val="green"/>
              </w:rPr>
              <w:t xml:space="preserve"> will be extended by X and Y more samples for intra-frequency and inter-frequency cases respectively.</w:t>
            </w:r>
          </w:p>
          <w:p w14:paraId="4065559A" w14:textId="77777777" w:rsidR="007C3121" w:rsidRPr="007C3121" w:rsidRDefault="007C3121" w:rsidP="007C3121">
            <w:pPr>
              <w:widowControl w:val="0"/>
              <w:numPr>
                <w:ilvl w:val="1"/>
                <w:numId w:val="31"/>
              </w:numPr>
              <w:autoSpaceDN w:val="0"/>
              <w:snapToGrid w:val="0"/>
              <w:spacing w:after="120"/>
              <w:rPr>
                <w:rFonts w:eastAsia="MS Mincho" w:cs="Times New Roman"/>
                <w:color w:val="0070C0"/>
                <w:szCs w:val="20"/>
                <w:lang w:eastAsia="zh-CN"/>
              </w:rPr>
            </w:pPr>
            <w:r w:rsidRPr="007C3121">
              <w:rPr>
                <w:rFonts w:eastAsia="MS Mincho" w:cs="Times New Roman"/>
                <w:szCs w:val="20"/>
                <w:highlight w:val="green"/>
              </w:rPr>
              <w:t>For X and Y, the values from TN less than 5MHz as starting point.</w:t>
            </w:r>
          </w:p>
          <w:p w14:paraId="30A4EE83" w14:textId="77777777" w:rsidR="00757826" w:rsidRPr="00757826" w:rsidRDefault="00757826" w:rsidP="005C23A4"/>
        </w:tc>
      </w:tr>
    </w:tbl>
    <w:p w14:paraId="7E01F9AE" w14:textId="77777777" w:rsidR="00757826" w:rsidRPr="00614DD8" w:rsidRDefault="00757826" w:rsidP="005C23A4">
      <w:pPr>
        <w:rPr>
          <w:lang w:val="en-US"/>
        </w:rPr>
      </w:pPr>
    </w:p>
    <w:p w14:paraId="3021F86C" w14:textId="77777777" w:rsidR="003B659E" w:rsidRDefault="003B659E" w:rsidP="00AE56B1">
      <w:pPr>
        <w:pStyle w:val="RAN4H1"/>
        <w:rPr>
          <w:lang w:val="en-US"/>
        </w:rPr>
      </w:pPr>
      <w:bookmarkStart w:id="4" w:name="_Toc116995842"/>
      <w:r w:rsidRPr="00614DD8">
        <w:rPr>
          <w:lang w:val="en-US"/>
        </w:rPr>
        <w:t>Discussion</w:t>
      </w:r>
      <w:bookmarkEnd w:id="4"/>
    </w:p>
    <w:p w14:paraId="212EE0CB" w14:textId="1CC304F1" w:rsidR="007C3121" w:rsidRDefault="007C3121" w:rsidP="00D15EE5">
      <w:pPr>
        <w:rPr>
          <w:lang w:val="en-US"/>
        </w:rPr>
      </w:pPr>
      <w:r>
        <w:rPr>
          <w:lang w:val="en-US"/>
        </w:rPr>
        <w:t xml:space="preserve">We will focus our analysis on the two issues related above. </w:t>
      </w:r>
    </w:p>
    <w:p w14:paraId="49460828" w14:textId="53777C0D" w:rsidR="007C3121" w:rsidRDefault="007C3121" w:rsidP="007C3121">
      <w:pPr>
        <w:pStyle w:val="RAN4H2"/>
        <w:rPr>
          <w:lang w:val="en-US"/>
        </w:rPr>
      </w:pPr>
      <w:r>
        <w:rPr>
          <w:lang w:val="en-US"/>
        </w:rPr>
        <w:t>CHO delay</w:t>
      </w:r>
    </w:p>
    <w:p w14:paraId="30BD81C6" w14:textId="77777777" w:rsidR="006D3095" w:rsidRDefault="007C3121" w:rsidP="007C3121">
      <w:pPr>
        <w:rPr>
          <w:lang w:val="en-US"/>
        </w:rPr>
      </w:pPr>
      <w:r>
        <w:rPr>
          <w:lang w:val="en-US"/>
        </w:rPr>
        <w:t xml:space="preserve">First of all it is important to highlight that although most of the previous requirements agreed for TN were reutilized/re-edited for the NTN operation in less than 5 MHz, there are some aspects related to CHO that are exclusive to NTN. For instance, </w:t>
      </w:r>
      <w:r w:rsidR="004519EE">
        <w:rPr>
          <w:lang w:val="en-US"/>
        </w:rPr>
        <w:t>NTN has introduced</w:t>
      </w:r>
      <w:r w:rsidR="006D3095">
        <w:rPr>
          <w:lang w:val="en-US"/>
        </w:rPr>
        <w:t>, in Rel-18,</w:t>
      </w:r>
      <w:r w:rsidR="004519EE">
        <w:rPr>
          <w:lang w:val="en-US"/>
        </w:rPr>
        <w:t xml:space="preserve"> the concept of location-based and time</w:t>
      </w:r>
      <w:r w:rsidR="006D3095">
        <w:rPr>
          <w:lang w:val="en-US"/>
        </w:rPr>
        <w:t>-</w:t>
      </w:r>
      <w:r w:rsidR="004519EE">
        <w:rPr>
          <w:lang w:val="en-US"/>
        </w:rPr>
        <w:t xml:space="preserve">based CHO. </w:t>
      </w:r>
      <w:r w:rsidR="006D3095">
        <w:rPr>
          <w:lang w:val="en-US"/>
        </w:rPr>
        <w:t xml:space="preserve">This new CHO types define a handover once a trigger that is based on UE position (location-based) or in a instant in time (time-based) the network needs to perform the CHO to a given cell. </w:t>
      </w:r>
    </w:p>
    <w:p w14:paraId="71ADC3D4" w14:textId="4855826A" w:rsidR="006D3095" w:rsidRDefault="006D3095" w:rsidP="007C3121">
      <w:r>
        <w:rPr>
          <w:lang w:val="en-US"/>
        </w:rPr>
        <w:t xml:space="preserve">The difference of this approach is that for the first time the CHO is not reliant on a cell measurement and a HO condition might be triggered without prior detection of the target cell, the so called “blind CHO”. </w:t>
      </w:r>
      <w:r w:rsidR="004F221E">
        <w:rPr>
          <w:lang w:val="en-US"/>
        </w:rPr>
        <w:t xml:space="preserve">For such type of HO, the search is most of the times performed blindly, and the UE cannot pre-emptively acquire timing information of the target cell, therefore, there is good justification to increase the total search time - </w:t>
      </w:r>
      <w:r w:rsidR="004F221E" w:rsidRPr="007C3121">
        <w:rPr>
          <w:rFonts w:eastAsia="SimSun" w:cs="Times New Roman"/>
          <w:bCs/>
          <w:iCs/>
          <w:szCs w:val="20"/>
          <w:lang w:eastAsia="zh-CN"/>
        </w:rPr>
        <w:t>T</w:t>
      </w:r>
      <w:r w:rsidR="004F221E" w:rsidRPr="007C3121">
        <w:rPr>
          <w:rFonts w:eastAsia="SimSun" w:cs="Times New Roman"/>
          <w:bCs/>
          <w:iCs/>
          <w:szCs w:val="20"/>
          <w:vertAlign w:val="subscript"/>
          <w:lang w:eastAsia="zh-CN"/>
        </w:rPr>
        <w:t>∆</w:t>
      </w:r>
      <w:r w:rsidR="004F221E">
        <w:rPr>
          <w:rFonts w:eastAsia="SimSun" w:cs="Times New Roman"/>
          <w:bCs/>
          <w:iCs/>
          <w:szCs w:val="20"/>
          <w:vertAlign w:val="subscript"/>
          <w:lang w:eastAsia="zh-CN"/>
        </w:rPr>
        <w:t xml:space="preserve"> </w:t>
      </w:r>
      <w:r w:rsidR="004F221E">
        <w:t xml:space="preserve">- for </w:t>
      </w:r>
      <w:r w:rsidR="009A4DFD">
        <w:t xml:space="preserve">this case, based on the lack of previous information on the target cell. </w:t>
      </w:r>
    </w:p>
    <w:p w14:paraId="78152084" w14:textId="77777777" w:rsidR="009A4DFD" w:rsidRDefault="009A4DFD" w:rsidP="007C3121">
      <w:r>
        <w:t>However, for the case where there is L3 measurement performed by the UE, the UE might perform the HO in a more efficient manner. Upon receiving a CHO the UE knows that a HO is soon to be expected by Network, in special in the cases where a secondary trigger (time or location based) is configured.</w:t>
      </w:r>
    </w:p>
    <w:p w14:paraId="6C7980E8" w14:textId="77777777" w:rsidR="009A4DFD" w:rsidRDefault="009A4DFD" w:rsidP="009A4DFD">
      <w:pPr>
        <w:pStyle w:val="RAN4observation0"/>
      </w:pPr>
      <w:bookmarkStart w:id="5" w:name="_Toc181990052"/>
      <w:r>
        <w:rPr>
          <w:lang w:eastAsia="zh-CN"/>
        </w:rPr>
        <w:t>Upon receiving a CHO command with secondary triggers, the UE can anticipate a HO is expected to happen.</w:t>
      </w:r>
      <w:bookmarkEnd w:id="5"/>
      <w:r>
        <w:rPr>
          <w:lang w:eastAsia="zh-CN"/>
        </w:rPr>
        <w:t xml:space="preserve"> </w:t>
      </w:r>
    </w:p>
    <w:p w14:paraId="16116E1A" w14:textId="77777777" w:rsidR="009A4DFD" w:rsidRDefault="009A4DFD" w:rsidP="009A4DFD">
      <w:pPr>
        <w:pStyle w:val="RAN4observation0"/>
        <w:numPr>
          <w:ilvl w:val="0"/>
          <w:numId w:val="0"/>
        </w:numPr>
      </w:pPr>
    </w:p>
    <w:p w14:paraId="205C1F5B" w14:textId="73B75A99" w:rsidR="009A4DFD" w:rsidRDefault="009A4DFD" w:rsidP="009A4DFD">
      <w:pPr>
        <w:pStyle w:val="RAN4observation0"/>
        <w:numPr>
          <w:ilvl w:val="0"/>
          <w:numId w:val="0"/>
        </w:numPr>
        <w:rPr>
          <w:rFonts w:eastAsia="SimSun"/>
          <w:bCs/>
          <w:lang w:eastAsia="zh-CN"/>
        </w:rPr>
      </w:pPr>
      <w:bookmarkStart w:id="6" w:name="_Toc181990053"/>
      <w:r>
        <w:t xml:space="preserve">There is some discussion whether the measurement preparations, common for the traditional CHO, </w:t>
      </w:r>
      <w:r>
        <w:rPr>
          <w:lang w:eastAsia="zh-CN"/>
        </w:rPr>
        <w:t xml:space="preserve"> needs a larger time requirement time in order to follow increases in </w:t>
      </w:r>
      <w:r w:rsidRPr="007C3121">
        <w:rPr>
          <w:rFonts w:eastAsia="SimSun"/>
          <w:bCs/>
          <w:lang w:eastAsia="zh-CN"/>
        </w:rPr>
        <w:t>Tidentify_intra</w:t>
      </w:r>
      <w:r>
        <w:rPr>
          <w:rFonts w:eastAsia="SimSun"/>
          <w:bCs/>
          <w:lang w:eastAsia="zh-CN"/>
        </w:rPr>
        <w:t>/inter</w:t>
      </w:r>
      <w:r w:rsidRPr="007C3121">
        <w:rPr>
          <w:rFonts w:eastAsia="SimSun"/>
          <w:bCs/>
          <w:lang w:eastAsia="zh-CN"/>
        </w:rPr>
        <w:t>_with_index</w:t>
      </w:r>
      <w:r>
        <w:rPr>
          <w:rFonts w:eastAsia="SimSun"/>
          <w:bCs/>
          <w:lang w:eastAsia="zh-CN"/>
        </w:rPr>
        <w:t xml:space="preserve"> caused by the punctured SSB. If that happens, the total time is increased by some SMTC periodicities (representing the UE will have multiple times to read the SSB block of the target cell).</w:t>
      </w:r>
      <w:bookmarkEnd w:id="6"/>
      <w:r>
        <w:rPr>
          <w:rFonts w:eastAsia="SimSun"/>
          <w:bCs/>
          <w:lang w:eastAsia="zh-CN"/>
        </w:rPr>
        <w:t xml:space="preserve"> </w:t>
      </w:r>
    </w:p>
    <w:p w14:paraId="292446E9" w14:textId="475EC9BD" w:rsidR="009A4DFD" w:rsidRDefault="009A4DFD" w:rsidP="009A4DFD">
      <w:pPr>
        <w:rPr>
          <w:rFonts w:eastAsia="SimSun" w:cs="Times New Roman"/>
          <w:bCs/>
          <w:iCs/>
          <w:szCs w:val="20"/>
          <w:lang w:eastAsia="zh-CN"/>
        </w:rPr>
      </w:pPr>
      <w:r>
        <w:rPr>
          <w:lang w:eastAsia="zh-CN"/>
        </w:rPr>
        <w:t xml:space="preserve">If the value of </w:t>
      </w:r>
      <w:r w:rsidRPr="007C3121">
        <w:rPr>
          <w:rFonts w:eastAsia="SimSun" w:cs="Times New Roman"/>
          <w:bCs/>
          <w:iCs/>
          <w:szCs w:val="20"/>
          <w:lang w:eastAsia="zh-CN"/>
        </w:rPr>
        <w:t>T</w:t>
      </w:r>
      <w:r w:rsidRPr="007C3121">
        <w:rPr>
          <w:rFonts w:eastAsia="SimSun" w:cs="Times New Roman"/>
          <w:bCs/>
          <w:iCs/>
          <w:szCs w:val="20"/>
          <w:vertAlign w:val="subscript"/>
          <w:lang w:eastAsia="zh-CN"/>
        </w:rPr>
        <w:t>∆</w:t>
      </w:r>
      <w:r>
        <w:rPr>
          <w:rFonts w:eastAsia="SimSun" w:cs="Times New Roman"/>
          <w:bCs/>
          <w:iCs/>
          <w:szCs w:val="20"/>
          <w:vertAlign w:val="subscript"/>
          <w:lang w:eastAsia="zh-CN"/>
        </w:rPr>
        <w:t xml:space="preserve"> </w:t>
      </w:r>
      <w:r>
        <w:rPr>
          <w:rFonts w:eastAsia="SimSun" w:cs="Times New Roman"/>
          <w:bCs/>
          <w:iCs/>
          <w:szCs w:val="20"/>
          <w:lang w:eastAsia="zh-CN"/>
        </w:rPr>
        <w:t>is also expanded, as the UE needs to acquire full timing information of the serving cell by a similar relaxation factor, the assumption is that the UE is not leveraging the opportunities from the increase in T</w:t>
      </w:r>
      <w:r w:rsidRPr="009A4DFD">
        <w:rPr>
          <w:rFonts w:eastAsia="SimSun" w:cs="Times New Roman"/>
          <w:bCs/>
          <w:iCs/>
          <w:szCs w:val="20"/>
          <w:vertAlign w:val="subscript"/>
          <w:lang w:eastAsia="zh-CN"/>
        </w:rPr>
        <w:t>measure</w:t>
      </w:r>
      <w:r>
        <w:rPr>
          <w:rFonts w:eastAsia="SimSun" w:cs="Times New Roman"/>
          <w:bCs/>
          <w:iCs/>
          <w:szCs w:val="20"/>
          <w:lang w:eastAsia="zh-CN"/>
        </w:rPr>
        <w:t xml:space="preserve"> to </w:t>
      </w:r>
      <w:r>
        <w:rPr>
          <w:rFonts w:eastAsia="SimSun" w:cs="Times New Roman"/>
          <w:bCs/>
          <w:iCs/>
          <w:szCs w:val="20"/>
          <w:lang w:eastAsia="zh-CN"/>
        </w:rPr>
        <w:lastRenderedPageBreak/>
        <w:t xml:space="preserve">acquire an early time tracking of the target cell.  Moreover, in several scenarios, the target cell is located in the same satellite, most likely with same timing properties as the current serving cell of the UE. </w:t>
      </w:r>
    </w:p>
    <w:p w14:paraId="12A413B3" w14:textId="66E9F536" w:rsidR="009A4DFD" w:rsidRDefault="009A4DFD" w:rsidP="009A4DFD">
      <w:pPr>
        <w:rPr>
          <w:rFonts w:eastAsia="SimSun" w:cs="Times New Roman"/>
          <w:bCs/>
          <w:szCs w:val="20"/>
          <w:lang w:eastAsia="zh-CN"/>
        </w:rPr>
      </w:pPr>
      <w:r>
        <w:rPr>
          <w:rFonts w:eastAsia="SimSun" w:cs="Times New Roman"/>
          <w:bCs/>
          <w:iCs/>
          <w:szCs w:val="20"/>
          <w:lang w:eastAsia="zh-CN"/>
        </w:rPr>
        <w:t xml:space="preserve">We propose that </w:t>
      </w:r>
      <w:r w:rsidRPr="007C3121">
        <w:rPr>
          <w:rFonts w:eastAsia="SimSun" w:cs="Times New Roman"/>
          <w:bCs/>
          <w:iCs/>
          <w:szCs w:val="20"/>
          <w:lang w:eastAsia="zh-CN"/>
        </w:rPr>
        <w:t>T</w:t>
      </w:r>
      <w:r w:rsidRPr="007C3121">
        <w:rPr>
          <w:rFonts w:eastAsia="SimSun" w:cs="Times New Roman"/>
          <w:bCs/>
          <w:iCs/>
          <w:szCs w:val="20"/>
          <w:vertAlign w:val="subscript"/>
          <w:lang w:eastAsia="zh-CN"/>
        </w:rPr>
        <w:t>∆</w:t>
      </w:r>
      <w:r>
        <w:rPr>
          <w:rFonts w:eastAsia="SimSun" w:cs="Times New Roman"/>
          <w:bCs/>
          <w:iCs/>
          <w:szCs w:val="20"/>
          <w:vertAlign w:val="subscript"/>
          <w:lang w:eastAsia="zh-CN"/>
        </w:rPr>
        <w:t xml:space="preserve"> </w:t>
      </w:r>
      <w:r>
        <w:rPr>
          <w:lang w:eastAsia="zh-CN"/>
        </w:rPr>
        <w:t xml:space="preserve">is only relaxed by one Trs such that the UE can leverage some information on the already previously extended value of  </w:t>
      </w:r>
      <w:r w:rsidRPr="007C3121">
        <w:rPr>
          <w:rFonts w:eastAsia="SimSun" w:cs="Times New Roman"/>
          <w:bCs/>
          <w:szCs w:val="20"/>
          <w:lang w:eastAsia="zh-CN"/>
        </w:rPr>
        <w:t>Tidentify_intra</w:t>
      </w:r>
      <w:r>
        <w:rPr>
          <w:rFonts w:eastAsia="SimSun"/>
          <w:bCs/>
          <w:lang w:eastAsia="zh-CN"/>
        </w:rPr>
        <w:t>/inter</w:t>
      </w:r>
      <w:r w:rsidRPr="007C3121">
        <w:rPr>
          <w:rFonts w:eastAsia="SimSun" w:cs="Times New Roman"/>
          <w:bCs/>
          <w:szCs w:val="20"/>
          <w:lang w:eastAsia="zh-CN"/>
        </w:rPr>
        <w:t>_with_index</w:t>
      </w:r>
      <w:r>
        <w:rPr>
          <w:rFonts w:eastAsia="SimSun" w:cs="Times New Roman"/>
          <w:bCs/>
          <w:szCs w:val="20"/>
          <w:lang w:eastAsia="zh-CN"/>
        </w:rPr>
        <w:t>.</w:t>
      </w:r>
    </w:p>
    <w:p w14:paraId="7AB4E4A4" w14:textId="3D8903E2" w:rsidR="009A4DFD" w:rsidRDefault="009A4DFD" w:rsidP="009A4DFD">
      <w:pPr>
        <w:pStyle w:val="RAN4proposal"/>
        <w:rPr>
          <w:lang w:eastAsia="zh-CN"/>
        </w:rPr>
      </w:pPr>
      <w:bookmarkStart w:id="7" w:name="_Toc181990054"/>
      <w:r>
        <w:rPr>
          <w:lang w:eastAsia="zh-CN"/>
        </w:rPr>
        <w:t xml:space="preserve">The value of </w:t>
      </w:r>
      <w:r w:rsidRPr="009A4DFD">
        <w:rPr>
          <w:lang w:eastAsia="zh-CN"/>
        </w:rPr>
        <w:t>T∆ in CHO requirement for NTN in exiting TS38.133 shall be extended to [</w:t>
      </w:r>
      <w:r w:rsidR="001540A1">
        <w:rPr>
          <w:lang w:eastAsia="zh-CN"/>
        </w:rPr>
        <w:t>2</w:t>
      </w:r>
      <w:r w:rsidRPr="009A4DFD">
        <w:rPr>
          <w:lang w:eastAsia="zh-CN"/>
        </w:rPr>
        <w:t xml:space="preserve"> Trs]</w:t>
      </w:r>
      <w:bookmarkEnd w:id="7"/>
      <w:r w:rsidRPr="009A4DFD">
        <w:rPr>
          <w:lang w:eastAsia="zh-CN"/>
        </w:rPr>
        <w:t xml:space="preserve"> </w:t>
      </w:r>
    </w:p>
    <w:p w14:paraId="4A604580" w14:textId="77777777" w:rsidR="001540A1" w:rsidRPr="001540A1" w:rsidRDefault="001540A1" w:rsidP="001540A1">
      <w:pPr>
        <w:rPr>
          <w:lang w:eastAsia="zh-CN"/>
        </w:rPr>
      </w:pPr>
    </w:p>
    <w:p w14:paraId="607F7F42" w14:textId="6C363582" w:rsidR="009A4DFD" w:rsidRDefault="001540A1" w:rsidP="001540A1">
      <w:pPr>
        <w:pStyle w:val="RAN4H2"/>
        <w:rPr>
          <w:lang w:val="en-US"/>
        </w:rPr>
      </w:pPr>
      <w:r>
        <w:rPr>
          <w:lang w:val="en-US"/>
        </w:rPr>
        <w:t>Index detection requirements</w:t>
      </w:r>
    </w:p>
    <w:p w14:paraId="19325013" w14:textId="4BFE9B02" w:rsidR="001540A1" w:rsidRDefault="001540A1" w:rsidP="001540A1">
      <w:pPr>
        <w:rPr>
          <w:lang w:val="en-US"/>
        </w:rPr>
      </w:pPr>
      <w:r>
        <w:rPr>
          <w:lang w:val="en-US"/>
        </w:rPr>
        <w:t xml:space="preserve">Another open issue is related to the Index detection requirements during neighbor cell measurements. For TN deployments in less than 5 MHz, the Index detection was increased in 4 (intra-frequency measurements) and 3 (inter-frequency measurements). </w:t>
      </w:r>
    </w:p>
    <w:p w14:paraId="28F5A398" w14:textId="44575F9A" w:rsidR="001540A1" w:rsidRDefault="001540A1" w:rsidP="001540A1">
      <w:pPr>
        <w:rPr>
          <w:lang w:val="en-US"/>
        </w:rPr>
      </w:pPr>
      <w:r>
        <w:rPr>
          <w:lang w:val="en-US"/>
        </w:rPr>
        <w:t xml:space="preserve">However, the number of samples was increased because companies, when specifying the Less than 5MHz operation in Rel-18 decided to maintain the side-conditions and adjust the number of samples. In a specification effort, this is not always the most efficient approach for measurement relaxation. In certain cases, the technical aspects of a given feature must strive for detectability levels, and in such cases this is the right approach. </w:t>
      </w:r>
    </w:p>
    <w:p w14:paraId="4DC4789D" w14:textId="6E1DF363" w:rsidR="001540A1" w:rsidRDefault="001540A1" w:rsidP="001540A1">
      <w:pPr>
        <w:rPr>
          <w:lang w:val="en-US"/>
        </w:rPr>
      </w:pPr>
      <w:r>
        <w:rPr>
          <w:lang w:val="en-US"/>
        </w:rPr>
        <w:t xml:space="preserve">However, in other scenarios, the technical aspects to be prioritized is the completion time of a certain operation. In such scenarios, it is first necessary to establish what is the maximum expected time within reasonable margins the UE can take to complete an operation and then find the side conditions that suits this requirement. </w:t>
      </w:r>
    </w:p>
    <w:p w14:paraId="1D7BC8A7" w14:textId="77777777" w:rsidR="005A66E4" w:rsidRDefault="001540A1" w:rsidP="001540A1">
      <w:pPr>
        <w:rPr>
          <w:lang w:val="en-US"/>
        </w:rPr>
      </w:pPr>
      <w:r>
        <w:rPr>
          <w:lang w:val="en-US"/>
        </w:rPr>
        <w:t xml:space="preserve">We believe that in this case, we are closer to the second type of scenarios. The main reason being that NTN has already significant measurement delays caused by </w:t>
      </w:r>
      <w:r w:rsidR="005A66E4">
        <w:rPr>
          <w:lang w:val="en-US"/>
        </w:rPr>
        <w:t xml:space="preserve">the “split” of measurement opportunities across different satellites (i.e. with different Doppler conditions) and things will get more stringent when the “DL Coverage enhancement” feature is implemented in Rel-19. Currently, RAN1 has already agreed on SSB periods of 160 ms (with cell DTX) and is still discussing whether such values can be increased up to 320 ms. </w:t>
      </w:r>
    </w:p>
    <w:p w14:paraId="2C28EC5A" w14:textId="24667491" w:rsidR="005A66E4" w:rsidRDefault="005A66E4" w:rsidP="001540A1">
      <w:pPr>
        <w:rPr>
          <w:lang w:val="en-US"/>
        </w:rPr>
      </w:pPr>
      <w:r>
        <w:rPr>
          <w:lang w:val="en-US"/>
        </w:rPr>
        <w:t xml:space="preserve">By increasing the measurement delay in 4*160 (320) ms, the specification is adding 640ms (1.28s) in the measurement operations conducted by the UE at minimum. Numbers can get significantly worse when the UE is required to perform measurements across multiple satellites. </w:t>
      </w:r>
    </w:p>
    <w:p w14:paraId="13F3B12F" w14:textId="71CF3F54" w:rsidR="005A66E4" w:rsidRPr="001540A1" w:rsidRDefault="005A66E4" w:rsidP="001540A1">
      <w:pPr>
        <w:rPr>
          <w:lang w:val="en-US"/>
        </w:rPr>
      </w:pPr>
      <w:r>
        <w:rPr>
          <w:lang w:val="en-US"/>
        </w:rPr>
        <w:t xml:space="preserve">Even though we known that the DL coverage enhancement is not part of this RAN4-led WI, when both works are completed, by the end of Rel-19, their combined implementation will not be precluded, it will rather be one possible implementation scenario. If RAN4 can already envision an harmonic deployment between both scenarios, without any additional cost, a more efficient system will be available for all parts involved. </w:t>
      </w:r>
    </w:p>
    <w:p w14:paraId="7D20488B" w14:textId="77777777" w:rsidR="005A66E4" w:rsidRPr="005A66E4" w:rsidRDefault="005A66E4" w:rsidP="005A66E4">
      <w:pPr>
        <w:pStyle w:val="RAN4proposal"/>
        <w:rPr>
          <w:lang w:val="en-US"/>
        </w:rPr>
      </w:pPr>
      <w:bookmarkStart w:id="8" w:name="_Toc181990055"/>
      <w:r>
        <w:rPr>
          <w:lang w:val="en-US"/>
        </w:rPr>
        <w:t xml:space="preserve">Maintain then values of samples related to </w:t>
      </w:r>
      <w:r w:rsidRPr="007C3121">
        <w:rPr>
          <w:rFonts w:eastAsia="MS Mincho" w:cs="Times New Roman"/>
          <w:bCs/>
          <w:szCs w:val="20"/>
        </w:rPr>
        <w:t>T</w:t>
      </w:r>
      <w:r w:rsidRPr="007C3121">
        <w:rPr>
          <w:rFonts w:eastAsia="MS Mincho" w:cs="Times New Roman"/>
          <w:bCs/>
          <w:szCs w:val="20"/>
          <w:vertAlign w:val="subscript"/>
        </w:rPr>
        <w:t>identify_xxx_with_index</w:t>
      </w:r>
      <w:r w:rsidRPr="005A66E4">
        <w:rPr>
          <w:rFonts w:eastAsia="MS Mincho" w:cs="Times New Roman"/>
          <w:bCs/>
          <w:szCs w:val="20"/>
          <w:vertAlign w:val="subscript"/>
        </w:rPr>
        <w:t xml:space="preserve"> </w:t>
      </w:r>
      <w:r w:rsidRPr="005A66E4">
        <w:rPr>
          <w:rFonts w:eastAsia="MS Mincho" w:cs="Times New Roman"/>
          <w:bCs/>
          <w:szCs w:val="20"/>
        </w:rPr>
        <w:t>and adjust</w:t>
      </w:r>
      <w:r>
        <w:rPr>
          <w:rFonts w:eastAsia="MS Mincho" w:cs="Times New Roman"/>
          <w:bCs/>
          <w:szCs w:val="20"/>
          <w:vertAlign w:val="subscript"/>
        </w:rPr>
        <w:t xml:space="preserve"> </w:t>
      </w:r>
      <w:r>
        <w:t>the side conditions accordingly.</w:t>
      </w:r>
      <w:bookmarkEnd w:id="8"/>
    </w:p>
    <w:p w14:paraId="21972DD0" w14:textId="77777777" w:rsidR="0060543D" w:rsidRPr="00614DD8" w:rsidRDefault="0060543D" w:rsidP="0060543D">
      <w:pPr>
        <w:rPr>
          <w:lang w:val="en-US"/>
        </w:rPr>
      </w:pPr>
    </w:p>
    <w:p w14:paraId="0BAD6D30" w14:textId="756184BE" w:rsidR="00893D2E" w:rsidRPr="00614DD8" w:rsidRDefault="00893D2E">
      <w:pPr>
        <w:rPr>
          <w:rFonts w:ascii="Arial" w:eastAsia="SimSun" w:hAnsi="Arial" w:cs="Times New Roman"/>
          <w:sz w:val="36"/>
          <w:szCs w:val="20"/>
          <w:lang w:val="en-US"/>
        </w:rPr>
      </w:pPr>
      <w:bookmarkStart w:id="9" w:name="_Toc116995848"/>
    </w:p>
    <w:p w14:paraId="17428602" w14:textId="77777777" w:rsidR="00CD7492" w:rsidRPr="00614DD8" w:rsidRDefault="00CD7492" w:rsidP="00A37002">
      <w:pPr>
        <w:pStyle w:val="RAN4H1"/>
        <w:rPr>
          <w:lang w:val="en-US"/>
        </w:rPr>
      </w:pPr>
      <w:r w:rsidRPr="00614DD8">
        <w:rPr>
          <w:lang w:val="en-US"/>
        </w:rPr>
        <w:t>Conclusion</w:t>
      </w:r>
      <w:bookmarkEnd w:id="9"/>
    </w:p>
    <w:p w14:paraId="6E1BBDB6" w14:textId="117BCD58" w:rsidR="00381F95" w:rsidRPr="00614DD8" w:rsidRDefault="00381F95" w:rsidP="00936159">
      <w:pPr>
        <w:rPr>
          <w:lang w:val="en-US"/>
        </w:rPr>
      </w:pPr>
      <w:r w:rsidRPr="00614DD8">
        <w:rPr>
          <w:lang w:val="en-US"/>
        </w:rPr>
        <w:t xml:space="preserve">The paper </w:t>
      </w:r>
      <w:r w:rsidR="00A91F45">
        <w:rPr>
          <w:lang w:val="en-US"/>
        </w:rPr>
        <w:t>has analyzed the initial scope of the work for adopting the less than 5 MHz for the NTN UEs in FR1 and the following proposals were made.</w:t>
      </w:r>
    </w:p>
    <w:bookmarkStart w:id="10" w:name="_Toc116995849"/>
    <w:p w14:paraId="24D6BCC2" w14:textId="792FF46C" w:rsidR="0088544D" w:rsidRDefault="001457B7">
      <w:pPr>
        <w:pStyle w:val="TOC1"/>
        <w:rPr>
          <w:rFonts w:asciiTheme="minorHAnsi" w:eastAsiaTheme="minorEastAsia" w:hAnsiTheme="minorHAnsi"/>
          <w:b w:val="0"/>
          <w:iCs w:val="0"/>
          <w:kern w:val="2"/>
          <w:sz w:val="24"/>
          <w:szCs w:val="24"/>
          <w:lang w:eastAsia="zh-CN"/>
          <w14:ligatures w14:val="standardContextual"/>
        </w:rPr>
      </w:pPr>
      <w:r>
        <w:rPr>
          <w:b w:val="0"/>
          <w:i/>
          <w:u w:val="single"/>
          <w:lang w:val="en-US"/>
        </w:rPr>
        <w:fldChar w:fldCharType="begin"/>
      </w:r>
      <w:r>
        <w:rPr>
          <w:b w:val="0"/>
          <w:i/>
          <w:u w:val="single"/>
          <w:lang w:val="en-US"/>
        </w:rPr>
        <w:instrText xml:space="preserve"> TOC \n \h \z \t "RAN4 proposal,1,RAN4 observation,1" </w:instrText>
      </w:r>
      <w:r>
        <w:rPr>
          <w:b w:val="0"/>
          <w:i/>
          <w:u w:val="single"/>
          <w:lang w:val="en-US"/>
        </w:rPr>
        <w:fldChar w:fldCharType="separate"/>
      </w:r>
      <w:hyperlink w:anchor="_Toc181990052" w:history="1">
        <w:r w:rsidR="0088544D" w:rsidRPr="00247323">
          <w:rPr>
            <w:rStyle w:val="Hyperlink"/>
          </w:rPr>
          <w:t>Observation 1:</w:t>
        </w:r>
        <w:r w:rsidR="0088544D" w:rsidRPr="00247323">
          <w:rPr>
            <w:rStyle w:val="Hyperlink"/>
            <w:lang w:eastAsia="zh-CN"/>
          </w:rPr>
          <w:t xml:space="preserve"> Upon receiving a CHO command with secondary triggers, the UE can anticipate a HO is expected to happen.</w:t>
        </w:r>
      </w:hyperlink>
    </w:p>
    <w:p w14:paraId="5D142522" w14:textId="60A7E206" w:rsidR="0088544D" w:rsidRDefault="0088544D">
      <w:pPr>
        <w:pStyle w:val="TOC1"/>
        <w:rPr>
          <w:rFonts w:asciiTheme="minorHAnsi" w:eastAsiaTheme="minorEastAsia" w:hAnsiTheme="minorHAnsi"/>
          <w:b w:val="0"/>
          <w:iCs w:val="0"/>
          <w:kern w:val="2"/>
          <w:sz w:val="24"/>
          <w:szCs w:val="24"/>
          <w:lang w:eastAsia="zh-CN"/>
          <w14:ligatures w14:val="standardContextual"/>
        </w:rPr>
      </w:pPr>
      <w:hyperlink w:anchor="_Toc181990053" w:history="1">
        <w:r w:rsidRPr="00247323">
          <w:rPr>
            <w:rStyle w:val="Hyperlink"/>
          </w:rPr>
          <w:t xml:space="preserve">There is some discussion whether the measurement preparations, common for the traditional CHO, </w:t>
        </w:r>
        <w:r w:rsidRPr="00247323">
          <w:rPr>
            <w:rStyle w:val="Hyperlink"/>
            <w:lang w:eastAsia="zh-CN"/>
          </w:rPr>
          <w:t xml:space="preserve"> needs a larger time requirement time in order to follow increases in </w:t>
        </w:r>
        <w:r w:rsidRPr="00247323">
          <w:rPr>
            <w:rStyle w:val="Hyperlink"/>
            <w:rFonts w:eastAsia="SimSun"/>
            <w:bCs/>
            <w:lang w:eastAsia="zh-CN"/>
          </w:rPr>
          <w:t>Tidentify_intra/inter_with_index caused by the punctured SSB. If that happens, the total time is increased by some SMTC periodicities (representing the UE will have multiple times to read the SSB block of the target cell).</w:t>
        </w:r>
      </w:hyperlink>
    </w:p>
    <w:p w14:paraId="68E16E34" w14:textId="6E985394" w:rsidR="0088544D" w:rsidRDefault="0088544D">
      <w:pPr>
        <w:pStyle w:val="TOC1"/>
        <w:rPr>
          <w:rFonts w:asciiTheme="minorHAnsi" w:eastAsiaTheme="minorEastAsia" w:hAnsiTheme="minorHAnsi"/>
          <w:b w:val="0"/>
          <w:iCs w:val="0"/>
          <w:kern w:val="2"/>
          <w:sz w:val="24"/>
          <w:szCs w:val="24"/>
          <w:lang w:eastAsia="zh-CN"/>
          <w14:ligatures w14:val="standardContextual"/>
        </w:rPr>
      </w:pPr>
      <w:hyperlink w:anchor="_Toc181990054" w:history="1">
        <w:r w:rsidRPr="00247323">
          <w:rPr>
            <w:rStyle w:val="Hyperlink"/>
            <w:lang w:eastAsia="zh-CN"/>
          </w:rPr>
          <w:t>Proposal 1: The value of T∆ in CHO requirement for NTN in exiting TS38.133 shall be extended to [2 Trs]</w:t>
        </w:r>
      </w:hyperlink>
    </w:p>
    <w:p w14:paraId="2B4DAD77" w14:textId="663CEEA3" w:rsidR="0088544D" w:rsidRDefault="0088544D">
      <w:pPr>
        <w:pStyle w:val="TOC1"/>
        <w:rPr>
          <w:rFonts w:asciiTheme="minorHAnsi" w:eastAsiaTheme="minorEastAsia" w:hAnsiTheme="minorHAnsi"/>
          <w:b w:val="0"/>
          <w:iCs w:val="0"/>
          <w:kern w:val="2"/>
          <w:sz w:val="24"/>
          <w:szCs w:val="24"/>
          <w:lang w:eastAsia="zh-CN"/>
          <w14:ligatures w14:val="standardContextual"/>
        </w:rPr>
      </w:pPr>
      <w:hyperlink w:anchor="_Toc181990055" w:history="1">
        <w:r w:rsidRPr="00247323">
          <w:rPr>
            <w:rStyle w:val="Hyperlink"/>
            <w:lang w:val="en-US"/>
          </w:rPr>
          <w:t xml:space="preserve">Proposal 2: Maintain then values of samples related to </w:t>
        </w:r>
        <w:r w:rsidRPr="00247323">
          <w:rPr>
            <w:rStyle w:val="Hyperlink"/>
            <w:rFonts w:eastAsia="MS Mincho" w:cs="Times New Roman"/>
            <w:bCs/>
          </w:rPr>
          <w:t>T</w:t>
        </w:r>
        <w:r w:rsidRPr="00247323">
          <w:rPr>
            <w:rStyle w:val="Hyperlink"/>
            <w:rFonts w:eastAsia="MS Mincho" w:cs="Times New Roman"/>
            <w:bCs/>
            <w:vertAlign w:val="subscript"/>
          </w:rPr>
          <w:t xml:space="preserve">identify_xxx_with_index </w:t>
        </w:r>
        <w:r w:rsidRPr="00247323">
          <w:rPr>
            <w:rStyle w:val="Hyperlink"/>
            <w:rFonts w:eastAsia="MS Mincho" w:cs="Times New Roman"/>
            <w:bCs/>
          </w:rPr>
          <w:t>and adjust</w:t>
        </w:r>
        <w:r w:rsidRPr="00247323">
          <w:rPr>
            <w:rStyle w:val="Hyperlink"/>
            <w:rFonts w:eastAsia="MS Mincho" w:cs="Times New Roman"/>
            <w:bCs/>
            <w:vertAlign w:val="subscript"/>
          </w:rPr>
          <w:t xml:space="preserve"> </w:t>
        </w:r>
        <w:r w:rsidRPr="00247323">
          <w:rPr>
            <w:rStyle w:val="Hyperlink"/>
          </w:rPr>
          <w:t>the side conditions accordingly.</w:t>
        </w:r>
      </w:hyperlink>
    </w:p>
    <w:p w14:paraId="550A99A9" w14:textId="5E046946" w:rsidR="00847264" w:rsidRPr="00614DD8" w:rsidRDefault="001457B7" w:rsidP="008C39F7">
      <w:pPr>
        <w:rPr>
          <w:lang w:val="en-US"/>
        </w:rPr>
      </w:pPr>
      <w:r>
        <w:rPr>
          <w:b/>
          <w:i/>
          <w:noProof/>
          <w:u w:val="single"/>
          <w:lang w:val="en-US"/>
        </w:rPr>
        <w:fldChar w:fldCharType="end"/>
      </w:r>
    </w:p>
    <w:p w14:paraId="12B5C36F"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0"/>
    </w:p>
    <w:p w14:paraId="2EA8D762" w14:textId="4B160291" w:rsidR="00E43BF9" w:rsidRDefault="0078713A" w:rsidP="00A91F45">
      <w:pPr>
        <w:pStyle w:val="ListParagraph"/>
        <w:numPr>
          <w:ilvl w:val="0"/>
          <w:numId w:val="21"/>
        </w:numPr>
        <w:rPr>
          <w:lang w:val="en-US"/>
        </w:rPr>
      </w:pPr>
      <w:bookmarkStart w:id="11" w:name="_Ref114500673"/>
      <w:bookmarkStart w:id="12" w:name="_Ref173963276"/>
      <w:bookmarkStart w:id="13" w:name="_Ref173928979"/>
      <w:bookmarkEnd w:id="11"/>
      <w:r w:rsidRPr="0078713A">
        <w:rPr>
          <w:rFonts w:hint="eastAsia"/>
          <w:lang w:val="en-US"/>
        </w:rPr>
        <w:t>RP-240857</w:t>
      </w:r>
      <w:r>
        <w:rPr>
          <w:lang w:val="en-US"/>
        </w:rPr>
        <w:t>,</w:t>
      </w:r>
      <w:r w:rsidRPr="0078713A">
        <w:rPr>
          <w:i/>
          <w:iCs/>
          <w:lang w:val="en-US"/>
        </w:rPr>
        <w:t xml:space="preserve"> “New WID: Enhanced requirements and test methodology for NR and IoT NTN”</w:t>
      </w:r>
      <w:r>
        <w:rPr>
          <w:lang w:val="en-US"/>
        </w:rPr>
        <w:t xml:space="preserve">, RAN4 Chair (Huawei), RAN #103, </w:t>
      </w:r>
      <w:r w:rsidRPr="0078713A">
        <w:rPr>
          <w:rFonts w:hint="eastAsia"/>
          <w:lang w:val="en-US"/>
        </w:rPr>
        <w:t>Maastricht, Netherlands, March 18-21, 2024</w:t>
      </w:r>
      <w:bookmarkEnd w:id="12"/>
      <w:bookmarkEnd w:id="13"/>
    </w:p>
    <w:p w14:paraId="0550B4FE" w14:textId="641409E2" w:rsidR="009B30DC" w:rsidRPr="008247F5" w:rsidRDefault="009B30DC" w:rsidP="00A91F45">
      <w:pPr>
        <w:pStyle w:val="ListParagraph"/>
        <w:numPr>
          <w:ilvl w:val="0"/>
          <w:numId w:val="21"/>
        </w:numPr>
        <w:rPr>
          <w:lang w:val="en-US"/>
        </w:rPr>
      </w:pPr>
      <w:bookmarkStart w:id="14" w:name="_Ref178852530"/>
      <w:r w:rsidRPr="009B30DC">
        <w:t xml:space="preserve">R4-2413974, </w:t>
      </w:r>
      <w:r w:rsidRPr="009B30DC">
        <w:rPr>
          <w:i/>
          <w:iCs/>
        </w:rPr>
        <w:t>"WF for RRM of NTN with channel BW less than 5MHz"</w:t>
      </w:r>
      <w:r w:rsidRPr="009B30DC">
        <w:t>, Moderator (Xiaomi), RAN4 #112, Maastricht, Netherlands, Aug. 19-23, 2024.</w:t>
      </w:r>
      <w:bookmarkEnd w:id="14"/>
    </w:p>
    <w:p w14:paraId="438E11A6" w14:textId="4ED6AD53" w:rsidR="008247F5" w:rsidRDefault="008247F5" w:rsidP="00A91F45">
      <w:pPr>
        <w:pStyle w:val="ListParagraph"/>
        <w:numPr>
          <w:ilvl w:val="0"/>
          <w:numId w:val="21"/>
        </w:numPr>
        <w:rPr>
          <w:lang w:val="en-US"/>
        </w:rPr>
      </w:pPr>
      <w:bookmarkStart w:id="15" w:name="_Ref178856931"/>
      <w:r>
        <w:rPr>
          <w:lang w:val="en-US"/>
        </w:rPr>
        <w:t>R4-2413189, “</w:t>
      </w:r>
      <w:r w:rsidRPr="008247F5">
        <w:rPr>
          <w:bCs/>
          <w:lang w:val="en-US"/>
        </w:rPr>
        <w:t>Support of less than 5MHz for NR NTN</w:t>
      </w:r>
      <w:r>
        <w:rPr>
          <w:lang w:val="en-US"/>
        </w:rPr>
        <w:t xml:space="preserve">”, Qualcomm, RAN4 #112, </w:t>
      </w:r>
      <w:r w:rsidRPr="008247F5">
        <w:rPr>
          <w:lang w:val="en-US"/>
        </w:rPr>
        <w:t>Maastricht, Netherlands, 19th – 23rd August, 2024</w:t>
      </w:r>
      <w:bookmarkEnd w:id="15"/>
    </w:p>
    <w:p w14:paraId="30F28E00" w14:textId="5DB8CF4B" w:rsidR="008848A2" w:rsidRPr="00A91F45" w:rsidRDefault="008848A2" w:rsidP="00A91F45">
      <w:pPr>
        <w:pStyle w:val="ListParagraph"/>
        <w:numPr>
          <w:ilvl w:val="0"/>
          <w:numId w:val="21"/>
        </w:numPr>
        <w:rPr>
          <w:lang w:val="en-US"/>
        </w:rPr>
      </w:pPr>
      <w:bookmarkStart w:id="16" w:name="_Ref178856938"/>
      <w:r w:rsidRPr="008848A2">
        <w:rPr>
          <w:lang w:val="en-US"/>
        </w:rPr>
        <w:t>R4-2413043</w:t>
      </w:r>
      <w:r>
        <w:rPr>
          <w:lang w:val="en-US"/>
        </w:rPr>
        <w:t>, “</w:t>
      </w:r>
      <w:r w:rsidRPr="008848A2">
        <w:rPr>
          <w:lang w:val="en-US"/>
        </w:rPr>
        <w:t>Discussion on RRM requirements for NTN enhancement</w:t>
      </w:r>
      <w:r>
        <w:rPr>
          <w:lang w:val="en-US"/>
        </w:rPr>
        <w:t xml:space="preserve">”, </w:t>
      </w:r>
      <w:r w:rsidRPr="008848A2">
        <w:rPr>
          <w:lang w:val="en-US"/>
        </w:rPr>
        <w:t>ZTE Corporation, Sanechips</w:t>
      </w:r>
      <w:r>
        <w:rPr>
          <w:lang w:val="en-US"/>
        </w:rPr>
        <w:t>, RAN4 #112, Maastricht, Netherlands, 19</w:t>
      </w:r>
      <w:r w:rsidRPr="008848A2">
        <w:rPr>
          <w:vertAlign w:val="superscript"/>
          <w:lang w:val="en-US"/>
        </w:rPr>
        <w:t>th</w:t>
      </w:r>
      <w:r>
        <w:rPr>
          <w:lang w:val="en-US"/>
        </w:rPr>
        <w:t xml:space="preserve"> – 23</w:t>
      </w:r>
      <w:r w:rsidRPr="008848A2">
        <w:rPr>
          <w:vertAlign w:val="superscript"/>
          <w:lang w:val="en-US"/>
        </w:rPr>
        <w:t>rd</w:t>
      </w:r>
      <w:r>
        <w:rPr>
          <w:lang w:val="en-US"/>
        </w:rPr>
        <w:t xml:space="preserve"> August, 2024</w:t>
      </w:r>
      <w:bookmarkEnd w:id="16"/>
    </w:p>
    <w:p w14:paraId="64BCB4DF" w14:textId="77777777" w:rsidR="001A1705" w:rsidRDefault="001A1705" w:rsidP="00E43BF9">
      <w:pPr>
        <w:ind w:right="-22"/>
        <w:rPr>
          <w:lang w:val="en-US"/>
        </w:rPr>
      </w:pPr>
    </w:p>
    <w:sectPr w:rsidR="001A170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38459A" w14:textId="77777777" w:rsidR="0043636F" w:rsidRDefault="0043636F" w:rsidP="00001C9B">
      <w:pPr>
        <w:spacing w:after="0" w:line="240" w:lineRule="auto"/>
      </w:pPr>
      <w:r>
        <w:separator/>
      </w:r>
    </w:p>
  </w:endnote>
  <w:endnote w:type="continuationSeparator" w:id="0">
    <w:p w14:paraId="4D340C59" w14:textId="77777777" w:rsidR="0043636F" w:rsidRDefault="0043636F" w:rsidP="00001C9B">
      <w:pPr>
        <w:spacing w:after="0" w:line="240" w:lineRule="auto"/>
      </w:pPr>
      <w:r>
        <w:continuationSeparator/>
      </w:r>
    </w:p>
  </w:endnote>
  <w:endnote w:type="continuationNotice" w:id="1">
    <w:p w14:paraId="551169EC" w14:textId="77777777" w:rsidR="0043636F" w:rsidRDefault="004363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hnschrift SemiLight">
    <w:panose1 w:val="020B0502040204020203"/>
    <w:charset w:val="00"/>
    <w:family w:val="swiss"/>
    <w:pitch w:val="variable"/>
    <w:sig w:usb0="A00002C7"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3D0035" w14:textId="77777777" w:rsidR="0043636F" w:rsidRDefault="0043636F" w:rsidP="00001C9B">
      <w:pPr>
        <w:spacing w:after="0" w:line="240" w:lineRule="auto"/>
      </w:pPr>
      <w:r>
        <w:separator/>
      </w:r>
    </w:p>
  </w:footnote>
  <w:footnote w:type="continuationSeparator" w:id="0">
    <w:p w14:paraId="1F969E9B" w14:textId="77777777" w:rsidR="0043636F" w:rsidRDefault="0043636F" w:rsidP="00001C9B">
      <w:pPr>
        <w:spacing w:after="0" w:line="240" w:lineRule="auto"/>
      </w:pPr>
      <w:r>
        <w:continuationSeparator/>
      </w:r>
    </w:p>
  </w:footnote>
  <w:footnote w:type="continuationNotice" w:id="1">
    <w:p w14:paraId="2F25ADFE" w14:textId="77777777" w:rsidR="0043636F" w:rsidRDefault="004363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451F6D"/>
    <w:multiLevelType w:val="hybridMultilevel"/>
    <w:tmpl w:val="970AF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F7640D"/>
    <w:multiLevelType w:val="multilevel"/>
    <w:tmpl w:val="15F7640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4F5877"/>
    <w:multiLevelType w:val="hybridMultilevel"/>
    <w:tmpl w:val="3C9A5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9"/>
  </w:num>
  <w:num w:numId="3" w16cid:durableId="1792749823">
    <w:abstractNumId w:val="13"/>
  </w:num>
  <w:num w:numId="4" w16cid:durableId="517735681">
    <w:abstractNumId w:val="7"/>
  </w:num>
  <w:num w:numId="5" w16cid:durableId="1142041724">
    <w:abstractNumId w:val="17"/>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18"/>
  </w:num>
  <w:num w:numId="16" w16cid:durableId="516113510">
    <w:abstractNumId w:val="6"/>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5"/>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778331464">
    <w:abstractNumId w:val="2"/>
  </w:num>
  <w:num w:numId="28" w16cid:durableId="240799949">
    <w:abstractNumId w:val="4"/>
  </w:num>
  <w:num w:numId="29" w16cid:durableId="1908879727">
    <w:abstractNumId w:val="8"/>
  </w:num>
  <w:num w:numId="30" w16cid:durableId="447939957">
    <w:abstractNumId w:val="5"/>
  </w:num>
  <w:num w:numId="31" w16cid:durableId="5296052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D4621"/>
    <w:rsid w:val="00001C9B"/>
    <w:rsid w:val="000040DC"/>
    <w:rsid w:val="00011784"/>
    <w:rsid w:val="00013BF4"/>
    <w:rsid w:val="000151EF"/>
    <w:rsid w:val="000239F5"/>
    <w:rsid w:val="00072CCA"/>
    <w:rsid w:val="0008612A"/>
    <w:rsid w:val="00090E18"/>
    <w:rsid w:val="000A10BC"/>
    <w:rsid w:val="000A7F53"/>
    <w:rsid w:val="000B0056"/>
    <w:rsid w:val="000B4D90"/>
    <w:rsid w:val="000C3C7B"/>
    <w:rsid w:val="000C6BF6"/>
    <w:rsid w:val="000D06E4"/>
    <w:rsid w:val="000D0F93"/>
    <w:rsid w:val="000E03AC"/>
    <w:rsid w:val="00106416"/>
    <w:rsid w:val="00110481"/>
    <w:rsid w:val="001127C9"/>
    <w:rsid w:val="00114498"/>
    <w:rsid w:val="00115B88"/>
    <w:rsid w:val="00131384"/>
    <w:rsid w:val="00132F6A"/>
    <w:rsid w:val="00133913"/>
    <w:rsid w:val="00135EA5"/>
    <w:rsid w:val="00140221"/>
    <w:rsid w:val="001457B7"/>
    <w:rsid w:val="001540A1"/>
    <w:rsid w:val="001642FC"/>
    <w:rsid w:val="0016496B"/>
    <w:rsid w:val="00171CE3"/>
    <w:rsid w:val="001743E2"/>
    <w:rsid w:val="001745F8"/>
    <w:rsid w:val="001838CF"/>
    <w:rsid w:val="001868EE"/>
    <w:rsid w:val="001A1705"/>
    <w:rsid w:val="001A3BA4"/>
    <w:rsid w:val="001A6D1F"/>
    <w:rsid w:val="001B1EA8"/>
    <w:rsid w:val="001C71D2"/>
    <w:rsid w:val="001D478E"/>
    <w:rsid w:val="001E30F6"/>
    <w:rsid w:val="00203210"/>
    <w:rsid w:val="00217EE5"/>
    <w:rsid w:val="00235F5C"/>
    <w:rsid w:val="00252374"/>
    <w:rsid w:val="00257FA3"/>
    <w:rsid w:val="00264081"/>
    <w:rsid w:val="00276767"/>
    <w:rsid w:val="00277B56"/>
    <w:rsid w:val="002817D2"/>
    <w:rsid w:val="00282A74"/>
    <w:rsid w:val="002849D4"/>
    <w:rsid w:val="0029139A"/>
    <w:rsid w:val="002A19F5"/>
    <w:rsid w:val="002B2A83"/>
    <w:rsid w:val="002B4922"/>
    <w:rsid w:val="002B69F3"/>
    <w:rsid w:val="002C22C3"/>
    <w:rsid w:val="002C2D19"/>
    <w:rsid w:val="002D10FA"/>
    <w:rsid w:val="002D4C55"/>
    <w:rsid w:val="002D5C7B"/>
    <w:rsid w:val="002E09CE"/>
    <w:rsid w:val="002E6DED"/>
    <w:rsid w:val="002F718C"/>
    <w:rsid w:val="00300956"/>
    <w:rsid w:val="00306A42"/>
    <w:rsid w:val="00317187"/>
    <w:rsid w:val="0032499A"/>
    <w:rsid w:val="003341F7"/>
    <w:rsid w:val="00336A1F"/>
    <w:rsid w:val="00347FEC"/>
    <w:rsid w:val="003509DF"/>
    <w:rsid w:val="003517A9"/>
    <w:rsid w:val="00356F45"/>
    <w:rsid w:val="003649C8"/>
    <w:rsid w:val="00366B74"/>
    <w:rsid w:val="00381F95"/>
    <w:rsid w:val="003824F2"/>
    <w:rsid w:val="00393A4F"/>
    <w:rsid w:val="003A710A"/>
    <w:rsid w:val="003B659E"/>
    <w:rsid w:val="003C275E"/>
    <w:rsid w:val="003C4FDE"/>
    <w:rsid w:val="003D0FE2"/>
    <w:rsid w:val="003D166F"/>
    <w:rsid w:val="003E0EF1"/>
    <w:rsid w:val="003E4609"/>
    <w:rsid w:val="003E4EE0"/>
    <w:rsid w:val="003E58DF"/>
    <w:rsid w:val="00402D37"/>
    <w:rsid w:val="00404C4C"/>
    <w:rsid w:val="004105D5"/>
    <w:rsid w:val="00413C69"/>
    <w:rsid w:val="0041423F"/>
    <w:rsid w:val="00414F81"/>
    <w:rsid w:val="0042194B"/>
    <w:rsid w:val="00424F78"/>
    <w:rsid w:val="0042574F"/>
    <w:rsid w:val="00432FF3"/>
    <w:rsid w:val="0043636F"/>
    <w:rsid w:val="00436A0F"/>
    <w:rsid w:val="00437150"/>
    <w:rsid w:val="00437367"/>
    <w:rsid w:val="0043750A"/>
    <w:rsid w:val="00447577"/>
    <w:rsid w:val="004519EE"/>
    <w:rsid w:val="0045320C"/>
    <w:rsid w:val="00457740"/>
    <w:rsid w:val="004732E9"/>
    <w:rsid w:val="004854BB"/>
    <w:rsid w:val="00494493"/>
    <w:rsid w:val="00496606"/>
    <w:rsid w:val="004D262F"/>
    <w:rsid w:val="004D66A8"/>
    <w:rsid w:val="004E212B"/>
    <w:rsid w:val="004E2F40"/>
    <w:rsid w:val="004E5E66"/>
    <w:rsid w:val="004E7ADB"/>
    <w:rsid w:val="004F221E"/>
    <w:rsid w:val="004F690B"/>
    <w:rsid w:val="00503B4D"/>
    <w:rsid w:val="00504EE9"/>
    <w:rsid w:val="00514E4F"/>
    <w:rsid w:val="00521576"/>
    <w:rsid w:val="005250E6"/>
    <w:rsid w:val="0052777E"/>
    <w:rsid w:val="00537AD6"/>
    <w:rsid w:val="0054284C"/>
    <w:rsid w:val="00542D23"/>
    <w:rsid w:val="0054442C"/>
    <w:rsid w:val="00547D1D"/>
    <w:rsid w:val="00547FF8"/>
    <w:rsid w:val="00550285"/>
    <w:rsid w:val="00550B99"/>
    <w:rsid w:val="00560A8D"/>
    <w:rsid w:val="00562492"/>
    <w:rsid w:val="00564938"/>
    <w:rsid w:val="00566881"/>
    <w:rsid w:val="00572A20"/>
    <w:rsid w:val="005836F8"/>
    <w:rsid w:val="005918FA"/>
    <w:rsid w:val="00592A86"/>
    <w:rsid w:val="005A66E4"/>
    <w:rsid w:val="005B3029"/>
    <w:rsid w:val="005B4801"/>
    <w:rsid w:val="005C23A4"/>
    <w:rsid w:val="005D1CDF"/>
    <w:rsid w:val="005D2BB7"/>
    <w:rsid w:val="005D6FFE"/>
    <w:rsid w:val="005E40E2"/>
    <w:rsid w:val="005E61A8"/>
    <w:rsid w:val="005F6419"/>
    <w:rsid w:val="005F6E96"/>
    <w:rsid w:val="0060301D"/>
    <w:rsid w:val="0060543D"/>
    <w:rsid w:val="006104DD"/>
    <w:rsid w:val="006130B5"/>
    <w:rsid w:val="00614DD8"/>
    <w:rsid w:val="00615B1A"/>
    <w:rsid w:val="00617400"/>
    <w:rsid w:val="00632D29"/>
    <w:rsid w:val="00635423"/>
    <w:rsid w:val="00636234"/>
    <w:rsid w:val="006400D6"/>
    <w:rsid w:val="006410A2"/>
    <w:rsid w:val="0065466F"/>
    <w:rsid w:val="00664213"/>
    <w:rsid w:val="00664950"/>
    <w:rsid w:val="00666B74"/>
    <w:rsid w:val="00683220"/>
    <w:rsid w:val="00684A3A"/>
    <w:rsid w:val="00687FA0"/>
    <w:rsid w:val="00693123"/>
    <w:rsid w:val="00697E59"/>
    <w:rsid w:val="006A28AC"/>
    <w:rsid w:val="006A3C11"/>
    <w:rsid w:val="006B537A"/>
    <w:rsid w:val="006B7010"/>
    <w:rsid w:val="006C3095"/>
    <w:rsid w:val="006C4721"/>
    <w:rsid w:val="006D3095"/>
    <w:rsid w:val="006E1151"/>
    <w:rsid w:val="006E6311"/>
    <w:rsid w:val="006F1D20"/>
    <w:rsid w:val="007145FF"/>
    <w:rsid w:val="00715B2A"/>
    <w:rsid w:val="00721BEC"/>
    <w:rsid w:val="0073208C"/>
    <w:rsid w:val="00733B21"/>
    <w:rsid w:val="007450F1"/>
    <w:rsid w:val="00751515"/>
    <w:rsid w:val="00757826"/>
    <w:rsid w:val="007626B7"/>
    <w:rsid w:val="00781B80"/>
    <w:rsid w:val="0078212B"/>
    <w:rsid w:val="00784DF6"/>
    <w:rsid w:val="00785232"/>
    <w:rsid w:val="00785534"/>
    <w:rsid w:val="0078713A"/>
    <w:rsid w:val="007B186C"/>
    <w:rsid w:val="007C1696"/>
    <w:rsid w:val="007C3121"/>
    <w:rsid w:val="007C3ED0"/>
    <w:rsid w:val="007C48C4"/>
    <w:rsid w:val="007C5971"/>
    <w:rsid w:val="007E42DC"/>
    <w:rsid w:val="007E4F1D"/>
    <w:rsid w:val="007E6B6D"/>
    <w:rsid w:val="007F2575"/>
    <w:rsid w:val="007F54B9"/>
    <w:rsid w:val="008026A9"/>
    <w:rsid w:val="00806A76"/>
    <w:rsid w:val="00811C9D"/>
    <w:rsid w:val="00816C80"/>
    <w:rsid w:val="008175E2"/>
    <w:rsid w:val="0081797B"/>
    <w:rsid w:val="00817F22"/>
    <w:rsid w:val="008247F5"/>
    <w:rsid w:val="00826CCF"/>
    <w:rsid w:val="008322A7"/>
    <w:rsid w:val="00841BCD"/>
    <w:rsid w:val="00847264"/>
    <w:rsid w:val="00851A8E"/>
    <w:rsid w:val="0085365B"/>
    <w:rsid w:val="008826C1"/>
    <w:rsid w:val="00883DFD"/>
    <w:rsid w:val="008848A2"/>
    <w:rsid w:val="0088544D"/>
    <w:rsid w:val="0089210C"/>
    <w:rsid w:val="00892CE7"/>
    <w:rsid w:val="00893D2E"/>
    <w:rsid w:val="008A1BF7"/>
    <w:rsid w:val="008A1C60"/>
    <w:rsid w:val="008A5B0E"/>
    <w:rsid w:val="008B0822"/>
    <w:rsid w:val="008B0961"/>
    <w:rsid w:val="008C2719"/>
    <w:rsid w:val="008C39F7"/>
    <w:rsid w:val="008E402E"/>
    <w:rsid w:val="008F5475"/>
    <w:rsid w:val="0090091A"/>
    <w:rsid w:val="009042BD"/>
    <w:rsid w:val="00904FE4"/>
    <w:rsid w:val="009213A7"/>
    <w:rsid w:val="00927740"/>
    <w:rsid w:val="00935BF0"/>
    <w:rsid w:val="00936159"/>
    <w:rsid w:val="009409BC"/>
    <w:rsid w:val="00945C58"/>
    <w:rsid w:val="0095345D"/>
    <w:rsid w:val="00977E1D"/>
    <w:rsid w:val="00981EBF"/>
    <w:rsid w:val="00982451"/>
    <w:rsid w:val="009838BE"/>
    <w:rsid w:val="009A1DBB"/>
    <w:rsid w:val="009A4DFD"/>
    <w:rsid w:val="009A55FD"/>
    <w:rsid w:val="009A6388"/>
    <w:rsid w:val="009B0573"/>
    <w:rsid w:val="009B30DC"/>
    <w:rsid w:val="009B38DC"/>
    <w:rsid w:val="009B7B4B"/>
    <w:rsid w:val="009B7C21"/>
    <w:rsid w:val="009E4E6E"/>
    <w:rsid w:val="009F1C16"/>
    <w:rsid w:val="00A04992"/>
    <w:rsid w:val="00A147AA"/>
    <w:rsid w:val="00A21D71"/>
    <w:rsid w:val="00A22B78"/>
    <w:rsid w:val="00A246F7"/>
    <w:rsid w:val="00A25AE5"/>
    <w:rsid w:val="00A26442"/>
    <w:rsid w:val="00A32516"/>
    <w:rsid w:val="00A37002"/>
    <w:rsid w:val="00A4355E"/>
    <w:rsid w:val="00A520D9"/>
    <w:rsid w:val="00A64DA0"/>
    <w:rsid w:val="00A91F45"/>
    <w:rsid w:val="00A92BCD"/>
    <w:rsid w:val="00A957E7"/>
    <w:rsid w:val="00AA1B0E"/>
    <w:rsid w:val="00AA47B6"/>
    <w:rsid w:val="00AB7F27"/>
    <w:rsid w:val="00AC163B"/>
    <w:rsid w:val="00AC5CA7"/>
    <w:rsid w:val="00AC6058"/>
    <w:rsid w:val="00AC621B"/>
    <w:rsid w:val="00AD25D1"/>
    <w:rsid w:val="00AE2BA5"/>
    <w:rsid w:val="00AE56B1"/>
    <w:rsid w:val="00AE6D09"/>
    <w:rsid w:val="00AE6DF5"/>
    <w:rsid w:val="00AF7A7C"/>
    <w:rsid w:val="00B02070"/>
    <w:rsid w:val="00B365B9"/>
    <w:rsid w:val="00B408B6"/>
    <w:rsid w:val="00B536C8"/>
    <w:rsid w:val="00B542DA"/>
    <w:rsid w:val="00B55957"/>
    <w:rsid w:val="00B56F18"/>
    <w:rsid w:val="00B66E3A"/>
    <w:rsid w:val="00B73862"/>
    <w:rsid w:val="00B73F43"/>
    <w:rsid w:val="00B75BBF"/>
    <w:rsid w:val="00B81CDC"/>
    <w:rsid w:val="00B954A3"/>
    <w:rsid w:val="00BA27B2"/>
    <w:rsid w:val="00BA308C"/>
    <w:rsid w:val="00BA595E"/>
    <w:rsid w:val="00BA6B66"/>
    <w:rsid w:val="00BA6E48"/>
    <w:rsid w:val="00BC7338"/>
    <w:rsid w:val="00BE0AF6"/>
    <w:rsid w:val="00BE1F03"/>
    <w:rsid w:val="00BE58A7"/>
    <w:rsid w:val="00BF2218"/>
    <w:rsid w:val="00BF4BF9"/>
    <w:rsid w:val="00C0426B"/>
    <w:rsid w:val="00C045DF"/>
    <w:rsid w:val="00C0701E"/>
    <w:rsid w:val="00C10107"/>
    <w:rsid w:val="00C26D43"/>
    <w:rsid w:val="00C35173"/>
    <w:rsid w:val="00C45B68"/>
    <w:rsid w:val="00C46548"/>
    <w:rsid w:val="00C5514A"/>
    <w:rsid w:val="00C5521B"/>
    <w:rsid w:val="00C574D5"/>
    <w:rsid w:val="00C70AF4"/>
    <w:rsid w:val="00C73F32"/>
    <w:rsid w:val="00C871FA"/>
    <w:rsid w:val="00C87462"/>
    <w:rsid w:val="00C91293"/>
    <w:rsid w:val="00C969DB"/>
    <w:rsid w:val="00CA180C"/>
    <w:rsid w:val="00CB22B2"/>
    <w:rsid w:val="00CC3EE2"/>
    <w:rsid w:val="00CC4D29"/>
    <w:rsid w:val="00CD7492"/>
    <w:rsid w:val="00CE3A6B"/>
    <w:rsid w:val="00D00211"/>
    <w:rsid w:val="00D006D1"/>
    <w:rsid w:val="00D025AE"/>
    <w:rsid w:val="00D0623E"/>
    <w:rsid w:val="00D06309"/>
    <w:rsid w:val="00D15EE5"/>
    <w:rsid w:val="00D351EA"/>
    <w:rsid w:val="00D40288"/>
    <w:rsid w:val="00D43403"/>
    <w:rsid w:val="00D50A6B"/>
    <w:rsid w:val="00D51D4A"/>
    <w:rsid w:val="00D5270B"/>
    <w:rsid w:val="00D568B2"/>
    <w:rsid w:val="00D611A2"/>
    <w:rsid w:val="00D62E71"/>
    <w:rsid w:val="00D6430D"/>
    <w:rsid w:val="00D66188"/>
    <w:rsid w:val="00D731F6"/>
    <w:rsid w:val="00D740CA"/>
    <w:rsid w:val="00D80134"/>
    <w:rsid w:val="00D8464C"/>
    <w:rsid w:val="00D85728"/>
    <w:rsid w:val="00D911BA"/>
    <w:rsid w:val="00D95481"/>
    <w:rsid w:val="00DC44F7"/>
    <w:rsid w:val="00DC7A13"/>
    <w:rsid w:val="00DE4A48"/>
    <w:rsid w:val="00DE7064"/>
    <w:rsid w:val="00DF2997"/>
    <w:rsid w:val="00E10BC4"/>
    <w:rsid w:val="00E1415D"/>
    <w:rsid w:val="00E213BD"/>
    <w:rsid w:val="00E2232C"/>
    <w:rsid w:val="00E323E9"/>
    <w:rsid w:val="00E32FB6"/>
    <w:rsid w:val="00E34018"/>
    <w:rsid w:val="00E437D2"/>
    <w:rsid w:val="00E43BF9"/>
    <w:rsid w:val="00E47BC6"/>
    <w:rsid w:val="00E51930"/>
    <w:rsid w:val="00E55751"/>
    <w:rsid w:val="00E7398E"/>
    <w:rsid w:val="00E81A99"/>
    <w:rsid w:val="00E82B94"/>
    <w:rsid w:val="00E83238"/>
    <w:rsid w:val="00E86D7E"/>
    <w:rsid w:val="00EA2311"/>
    <w:rsid w:val="00EC332B"/>
    <w:rsid w:val="00EC7BC3"/>
    <w:rsid w:val="00ED7600"/>
    <w:rsid w:val="00EE4213"/>
    <w:rsid w:val="00EF203C"/>
    <w:rsid w:val="00EF6073"/>
    <w:rsid w:val="00EF698B"/>
    <w:rsid w:val="00F03AA6"/>
    <w:rsid w:val="00F12F5D"/>
    <w:rsid w:val="00F1362C"/>
    <w:rsid w:val="00F245A1"/>
    <w:rsid w:val="00F414F1"/>
    <w:rsid w:val="00F45EA5"/>
    <w:rsid w:val="00F508B8"/>
    <w:rsid w:val="00F5425B"/>
    <w:rsid w:val="00F64775"/>
    <w:rsid w:val="00F6505C"/>
    <w:rsid w:val="00F6734F"/>
    <w:rsid w:val="00F72CB1"/>
    <w:rsid w:val="00F8215E"/>
    <w:rsid w:val="00F824F5"/>
    <w:rsid w:val="00F90FAB"/>
    <w:rsid w:val="00F9374D"/>
    <w:rsid w:val="00F937AA"/>
    <w:rsid w:val="00FA146A"/>
    <w:rsid w:val="00FA4F7D"/>
    <w:rsid w:val="00FC19E7"/>
    <w:rsid w:val="00FC29B9"/>
    <w:rsid w:val="00FC6FD3"/>
    <w:rsid w:val="00FD1D70"/>
    <w:rsid w:val="00FD4621"/>
    <w:rsid w:val="00FE305C"/>
    <w:rsid w:val="00FF0301"/>
    <w:rsid w:val="00FF7043"/>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67B7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37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A91F45"/>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hnschrift SemiLight" w:hAnsi="Bahnschrift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25237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52374"/>
    <w:rPr>
      <w:rFonts w:ascii="Times New Roman" w:hAnsi="Times New Roman"/>
      <w:sz w:val="20"/>
      <w:lang w:val="en-GB"/>
    </w:rPr>
  </w:style>
  <w:style w:type="paragraph" w:styleId="Footer">
    <w:name w:val="footer"/>
    <w:basedOn w:val="Normal"/>
    <w:link w:val="FooterChar"/>
    <w:uiPriority w:val="99"/>
    <w:unhideWhenUsed/>
    <w:rsid w:val="0025237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52374"/>
    <w:rPr>
      <w:rFonts w:ascii="Times New Roman" w:hAnsi="Times New Roman"/>
      <w:sz w:val="20"/>
      <w:lang w:val="en-GB"/>
    </w:rPr>
  </w:style>
  <w:style w:type="paragraph" w:styleId="Revision">
    <w:name w:val="Revision"/>
    <w:hidden/>
    <w:uiPriority w:val="99"/>
    <w:semiHidden/>
    <w:rsid w:val="00D911BA"/>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6016">
      <w:bodyDiv w:val="1"/>
      <w:marLeft w:val="0"/>
      <w:marRight w:val="0"/>
      <w:marTop w:val="0"/>
      <w:marBottom w:val="0"/>
      <w:divBdr>
        <w:top w:val="none" w:sz="0" w:space="0" w:color="auto"/>
        <w:left w:val="none" w:sz="0" w:space="0" w:color="auto"/>
        <w:bottom w:val="none" w:sz="0" w:space="0" w:color="auto"/>
        <w:right w:val="none" w:sz="0" w:space="0" w:color="auto"/>
      </w:divBdr>
    </w:div>
    <w:div w:id="13769216">
      <w:bodyDiv w:val="1"/>
      <w:marLeft w:val="0"/>
      <w:marRight w:val="0"/>
      <w:marTop w:val="0"/>
      <w:marBottom w:val="0"/>
      <w:divBdr>
        <w:top w:val="none" w:sz="0" w:space="0" w:color="auto"/>
        <w:left w:val="none" w:sz="0" w:space="0" w:color="auto"/>
        <w:bottom w:val="none" w:sz="0" w:space="0" w:color="auto"/>
        <w:right w:val="none" w:sz="0" w:space="0" w:color="auto"/>
      </w:divBdr>
    </w:div>
    <w:div w:id="14698460">
      <w:bodyDiv w:val="1"/>
      <w:marLeft w:val="0"/>
      <w:marRight w:val="0"/>
      <w:marTop w:val="0"/>
      <w:marBottom w:val="0"/>
      <w:divBdr>
        <w:top w:val="none" w:sz="0" w:space="0" w:color="auto"/>
        <w:left w:val="none" w:sz="0" w:space="0" w:color="auto"/>
        <w:bottom w:val="none" w:sz="0" w:space="0" w:color="auto"/>
        <w:right w:val="none" w:sz="0" w:space="0" w:color="auto"/>
      </w:divBdr>
    </w:div>
    <w:div w:id="64500253">
      <w:bodyDiv w:val="1"/>
      <w:marLeft w:val="0"/>
      <w:marRight w:val="0"/>
      <w:marTop w:val="0"/>
      <w:marBottom w:val="0"/>
      <w:divBdr>
        <w:top w:val="none" w:sz="0" w:space="0" w:color="auto"/>
        <w:left w:val="none" w:sz="0" w:space="0" w:color="auto"/>
        <w:bottom w:val="none" w:sz="0" w:space="0" w:color="auto"/>
        <w:right w:val="none" w:sz="0" w:space="0" w:color="auto"/>
      </w:divBdr>
    </w:div>
    <w:div w:id="121653857">
      <w:bodyDiv w:val="1"/>
      <w:marLeft w:val="0"/>
      <w:marRight w:val="0"/>
      <w:marTop w:val="0"/>
      <w:marBottom w:val="0"/>
      <w:divBdr>
        <w:top w:val="none" w:sz="0" w:space="0" w:color="auto"/>
        <w:left w:val="none" w:sz="0" w:space="0" w:color="auto"/>
        <w:bottom w:val="none" w:sz="0" w:space="0" w:color="auto"/>
        <w:right w:val="none" w:sz="0" w:space="0" w:color="auto"/>
      </w:divBdr>
    </w:div>
    <w:div w:id="132480496">
      <w:bodyDiv w:val="1"/>
      <w:marLeft w:val="0"/>
      <w:marRight w:val="0"/>
      <w:marTop w:val="0"/>
      <w:marBottom w:val="0"/>
      <w:divBdr>
        <w:top w:val="none" w:sz="0" w:space="0" w:color="auto"/>
        <w:left w:val="none" w:sz="0" w:space="0" w:color="auto"/>
        <w:bottom w:val="none" w:sz="0" w:space="0" w:color="auto"/>
        <w:right w:val="none" w:sz="0" w:space="0" w:color="auto"/>
      </w:divBdr>
    </w:div>
    <w:div w:id="216474612">
      <w:bodyDiv w:val="1"/>
      <w:marLeft w:val="0"/>
      <w:marRight w:val="0"/>
      <w:marTop w:val="0"/>
      <w:marBottom w:val="0"/>
      <w:divBdr>
        <w:top w:val="none" w:sz="0" w:space="0" w:color="auto"/>
        <w:left w:val="none" w:sz="0" w:space="0" w:color="auto"/>
        <w:bottom w:val="none" w:sz="0" w:space="0" w:color="auto"/>
        <w:right w:val="none" w:sz="0" w:space="0" w:color="auto"/>
      </w:divBdr>
    </w:div>
    <w:div w:id="249588740">
      <w:bodyDiv w:val="1"/>
      <w:marLeft w:val="0"/>
      <w:marRight w:val="0"/>
      <w:marTop w:val="0"/>
      <w:marBottom w:val="0"/>
      <w:divBdr>
        <w:top w:val="none" w:sz="0" w:space="0" w:color="auto"/>
        <w:left w:val="none" w:sz="0" w:space="0" w:color="auto"/>
        <w:bottom w:val="none" w:sz="0" w:space="0" w:color="auto"/>
        <w:right w:val="none" w:sz="0" w:space="0" w:color="auto"/>
      </w:divBdr>
    </w:div>
    <w:div w:id="254558198">
      <w:bodyDiv w:val="1"/>
      <w:marLeft w:val="0"/>
      <w:marRight w:val="0"/>
      <w:marTop w:val="0"/>
      <w:marBottom w:val="0"/>
      <w:divBdr>
        <w:top w:val="none" w:sz="0" w:space="0" w:color="auto"/>
        <w:left w:val="none" w:sz="0" w:space="0" w:color="auto"/>
        <w:bottom w:val="none" w:sz="0" w:space="0" w:color="auto"/>
        <w:right w:val="none" w:sz="0" w:space="0" w:color="auto"/>
      </w:divBdr>
    </w:div>
    <w:div w:id="298337873">
      <w:bodyDiv w:val="1"/>
      <w:marLeft w:val="0"/>
      <w:marRight w:val="0"/>
      <w:marTop w:val="0"/>
      <w:marBottom w:val="0"/>
      <w:divBdr>
        <w:top w:val="none" w:sz="0" w:space="0" w:color="auto"/>
        <w:left w:val="none" w:sz="0" w:space="0" w:color="auto"/>
        <w:bottom w:val="none" w:sz="0" w:space="0" w:color="auto"/>
        <w:right w:val="none" w:sz="0" w:space="0" w:color="auto"/>
      </w:divBdr>
    </w:div>
    <w:div w:id="299965202">
      <w:bodyDiv w:val="1"/>
      <w:marLeft w:val="0"/>
      <w:marRight w:val="0"/>
      <w:marTop w:val="0"/>
      <w:marBottom w:val="0"/>
      <w:divBdr>
        <w:top w:val="none" w:sz="0" w:space="0" w:color="auto"/>
        <w:left w:val="none" w:sz="0" w:space="0" w:color="auto"/>
        <w:bottom w:val="none" w:sz="0" w:space="0" w:color="auto"/>
        <w:right w:val="none" w:sz="0" w:space="0" w:color="auto"/>
      </w:divBdr>
    </w:div>
    <w:div w:id="343870724">
      <w:bodyDiv w:val="1"/>
      <w:marLeft w:val="0"/>
      <w:marRight w:val="0"/>
      <w:marTop w:val="0"/>
      <w:marBottom w:val="0"/>
      <w:divBdr>
        <w:top w:val="none" w:sz="0" w:space="0" w:color="auto"/>
        <w:left w:val="none" w:sz="0" w:space="0" w:color="auto"/>
        <w:bottom w:val="none" w:sz="0" w:space="0" w:color="auto"/>
        <w:right w:val="none" w:sz="0" w:space="0" w:color="auto"/>
      </w:divBdr>
    </w:div>
    <w:div w:id="383063992">
      <w:bodyDiv w:val="1"/>
      <w:marLeft w:val="0"/>
      <w:marRight w:val="0"/>
      <w:marTop w:val="0"/>
      <w:marBottom w:val="0"/>
      <w:divBdr>
        <w:top w:val="none" w:sz="0" w:space="0" w:color="auto"/>
        <w:left w:val="none" w:sz="0" w:space="0" w:color="auto"/>
        <w:bottom w:val="none" w:sz="0" w:space="0" w:color="auto"/>
        <w:right w:val="none" w:sz="0" w:space="0" w:color="auto"/>
      </w:divBdr>
    </w:div>
    <w:div w:id="484902447">
      <w:bodyDiv w:val="1"/>
      <w:marLeft w:val="0"/>
      <w:marRight w:val="0"/>
      <w:marTop w:val="0"/>
      <w:marBottom w:val="0"/>
      <w:divBdr>
        <w:top w:val="none" w:sz="0" w:space="0" w:color="auto"/>
        <w:left w:val="none" w:sz="0" w:space="0" w:color="auto"/>
        <w:bottom w:val="none" w:sz="0" w:space="0" w:color="auto"/>
        <w:right w:val="none" w:sz="0" w:space="0" w:color="auto"/>
      </w:divBdr>
    </w:div>
    <w:div w:id="528614845">
      <w:bodyDiv w:val="1"/>
      <w:marLeft w:val="0"/>
      <w:marRight w:val="0"/>
      <w:marTop w:val="0"/>
      <w:marBottom w:val="0"/>
      <w:divBdr>
        <w:top w:val="none" w:sz="0" w:space="0" w:color="auto"/>
        <w:left w:val="none" w:sz="0" w:space="0" w:color="auto"/>
        <w:bottom w:val="none" w:sz="0" w:space="0" w:color="auto"/>
        <w:right w:val="none" w:sz="0" w:space="0" w:color="auto"/>
      </w:divBdr>
    </w:div>
    <w:div w:id="650059583">
      <w:bodyDiv w:val="1"/>
      <w:marLeft w:val="0"/>
      <w:marRight w:val="0"/>
      <w:marTop w:val="0"/>
      <w:marBottom w:val="0"/>
      <w:divBdr>
        <w:top w:val="none" w:sz="0" w:space="0" w:color="auto"/>
        <w:left w:val="none" w:sz="0" w:space="0" w:color="auto"/>
        <w:bottom w:val="none" w:sz="0" w:space="0" w:color="auto"/>
        <w:right w:val="none" w:sz="0" w:space="0" w:color="auto"/>
      </w:divBdr>
    </w:div>
    <w:div w:id="705443382">
      <w:bodyDiv w:val="1"/>
      <w:marLeft w:val="0"/>
      <w:marRight w:val="0"/>
      <w:marTop w:val="0"/>
      <w:marBottom w:val="0"/>
      <w:divBdr>
        <w:top w:val="none" w:sz="0" w:space="0" w:color="auto"/>
        <w:left w:val="none" w:sz="0" w:space="0" w:color="auto"/>
        <w:bottom w:val="none" w:sz="0" w:space="0" w:color="auto"/>
        <w:right w:val="none" w:sz="0" w:space="0" w:color="auto"/>
      </w:divBdr>
    </w:div>
    <w:div w:id="836846438">
      <w:bodyDiv w:val="1"/>
      <w:marLeft w:val="0"/>
      <w:marRight w:val="0"/>
      <w:marTop w:val="0"/>
      <w:marBottom w:val="0"/>
      <w:divBdr>
        <w:top w:val="none" w:sz="0" w:space="0" w:color="auto"/>
        <w:left w:val="none" w:sz="0" w:space="0" w:color="auto"/>
        <w:bottom w:val="none" w:sz="0" w:space="0" w:color="auto"/>
        <w:right w:val="none" w:sz="0" w:space="0" w:color="auto"/>
      </w:divBdr>
    </w:div>
    <w:div w:id="840851113">
      <w:bodyDiv w:val="1"/>
      <w:marLeft w:val="0"/>
      <w:marRight w:val="0"/>
      <w:marTop w:val="0"/>
      <w:marBottom w:val="0"/>
      <w:divBdr>
        <w:top w:val="none" w:sz="0" w:space="0" w:color="auto"/>
        <w:left w:val="none" w:sz="0" w:space="0" w:color="auto"/>
        <w:bottom w:val="none" w:sz="0" w:space="0" w:color="auto"/>
        <w:right w:val="none" w:sz="0" w:space="0" w:color="auto"/>
      </w:divBdr>
    </w:div>
    <w:div w:id="917985607">
      <w:bodyDiv w:val="1"/>
      <w:marLeft w:val="0"/>
      <w:marRight w:val="0"/>
      <w:marTop w:val="0"/>
      <w:marBottom w:val="0"/>
      <w:divBdr>
        <w:top w:val="none" w:sz="0" w:space="0" w:color="auto"/>
        <w:left w:val="none" w:sz="0" w:space="0" w:color="auto"/>
        <w:bottom w:val="none" w:sz="0" w:space="0" w:color="auto"/>
        <w:right w:val="none" w:sz="0" w:space="0" w:color="auto"/>
      </w:divBdr>
    </w:div>
    <w:div w:id="924073273">
      <w:bodyDiv w:val="1"/>
      <w:marLeft w:val="0"/>
      <w:marRight w:val="0"/>
      <w:marTop w:val="0"/>
      <w:marBottom w:val="0"/>
      <w:divBdr>
        <w:top w:val="none" w:sz="0" w:space="0" w:color="auto"/>
        <w:left w:val="none" w:sz="0" w:space="0" w:color="auto"/>
        <w:bottom w:val="none" w:sz="0" w:space="0" w:color="auto"/>
        <w:right w:val="none" w:sz="0" w:space="0" w:color="auto"/>
      </w:divBdr>
    </w:div>
    <w:div w:id="948663597">
      <w:bodyDiv w:val="1"/>
      <w:marLeft w:val="0"/>
      <w:marRight w:val="0"/>
      <w:marTop w:val="0"/>
      <w:marBottom w:val="0"/>
      <w:divBdr>
        <w:top w:val="none" w:sz="0" w:space="0" w:color="auto"/>
        <w:left w:val="none" w:sz="0" w:space="0" w:color="auto"/>
        <w:bottom w:val="none" w:sz="0" w:space="0" w:color="auto"/>
        <w:right w:val="none" w:sz="0" w:space="0" w:color="auto"/>
      </w:divBdr>
    </w:div>
    <w:div w:id="962926321">
      <w:bodyDiv w:val="1"/>
      <w:marLeft w:val="0"/>
      <w:marRight w:val="0"/>
      <w:marTop w:val="0"/>
      <w:marBottom w:val="0"/>
      <w:divBdr>
        <w:top w:val="none" w:sz="0" w:space="0" w:color="auto"/>
        <w:left w:val="none" w:sz="0" w:space="0" w:color="auto"/>
        <w:bottom w:val="none" w:sz="0" w:space="0" w:color="auto"/>
        <w:right w:val="none" w:sz="0" w:space="0" w:color="auto"/>
      </w:divBdr>
    </w:div>
    <w:div w:id="1086342882">
      <w:bodyDiv w:val="1"/>
      <w:marLeft w:val="0"/>
      <w:marRight w:val="0"/>
      <w:marTop w:val="0"/>
      <w:marBottom w:val="0"/>
      <w:divBdr>
        <w:top w:val="none" w:sz="0" w:space="0" w:color="auto"/>
        <w:left w:val="none" w:sz="0" w:space="0" w:color="auto"/>
        <w:bottom w:val="none" w:sz="0" w:space="0" w:color="auto"/>
        <w:right w:val="none" w:sz="0" w:space="0" w:color="auto"/>
      </w:divBdr>
    </w:div>
    <w:div w:id="1117677507">
      <w:bodyDiv w:val="1"/>
      <w:marLeft w:val="0"/>
      <w:marRight w:val="0"/>
      <w:marTop w:val="0"/>
      <w:marBottom w:val="0"/>
      <w:divBdr>
        <w:top w:val="none" w:sz="0" w:space="0" w:color="auto"/>
        <w:left w:val="none" w:sz="0" w:space="0" w:color="auto"/>
        <w:bottom w:val="none" w:sz="0" w:space="0" w:color="auto"/>
        <w:right w:val="none" w:sz="0" w:space="0" w:color="auto"/>
      </w:divBdr>
    </w:div>
    <w:div w:id="1250235244">
      <w:bodyDiv w:val="1"/>
      <w:marLeft w:val="0"/>
      <w:marRight w:val="0"/>
      <w:marTop w:val="0"/>
      <w:marBottom w:val="0"/>
      <w:divBdr>
        <w:top w:val="none" w:sz="0" w:space="0" w:color="auto"/>
        <w:left w:val="none" w:sz="0" w:space="0" w:color="auto"/>
        <w:bottom w:val="none" w:sz="0" w:space="0" w:color="auto"/>
        <w:right w:val="none" w:sz="0" w:space="0" w:color="auto"/>
      </w:divBdr>
    </w:div>
    <w:div w:id="1257324046">
      <w:bodyDiv w:val="1"/>
      <w:marLeft w:val="0"/>
      <w:marRight w:val="0"/>
      <w:marTop w:val="0"/>
      <w:marBottom w:val="0"/>
      <w:divBdr>
        <w:top w:val="none" w:sz="0" w:space="0" w:color="auto"/>
        <w:left w:val="none" w:sz="0" w:space="0" w:color="auto"/>
        <w:bottom w:val="none" w:sz="0" w:space="0" w:color="auto"/>
        <w:right w:val="none" w:sz="0" w:space="0" w:color="auto"/>
      </w:divBdr>
    </w:div>
    <w:div w:id="1306084363">
      <w:bodyDiv w:val="1"/>
      <w:marLeft w:val="0"/>
      <w:marRight w:val="0"/>
      <w:marTop w:val="0"/>
      <w:marBottom w:val="0"/>
      <w:divBdr>
        <w:top w:val="none" w:sz="0" w:space="0" w:color="auto"/>
        <w:left w:val="none" w:sz="0" w:space="0" w:color="auto"/>
        <w:bottom w:val="none" w:sz="0" w:space="0" w:color="auto"/>
        <w:right w:val="none" w:sz="0" w:space="0" w:color="auto"/>
      </w:divBdr>
    </w:div>
    <w:div w:id="1408191280">
      <w:bodyDiv w:val="1"/>
      <w:marLeft w:val="0"/>
      <w:marRight w:val="0"/>
      <w:marTop w:val="0"/>
      <w:marBottom w:val="0"/>
      <w:divBdr>
        <w:top w:val="none" w:sz="0" w:space="0" w:color="auto"/>
        <w:left w:val="none" w:sz="0" w:space="0" w:color="auto"/>
        <w:bottom w:val="none" w:sz="0" w:space="0" w:color="auto"/>
        <w:right w:val="none" w:sz="0" w:space="0" w:color="auto"/>
      </w:divBdr>
    </w:div>
    <w:div w:id="1502086984">
      <w:bodyDiv w:val="1"/>
      <w:marLeft w:val="0"/>
      <w:marRight w:val="0"/>
      <w:marTop w:val="0"/>
      <w:marBottom w:val="0"/>
      <w:divBdr>
        <w:top w:val="none" w:sz="0" w:space="0" w:color="auto"/>
        <w:left w:val="none" w:sz="0" w:space="0" w:color="auto"/>
        <w:bottom w:val="none" w:sz="0" w:space="0" w:color="auto"/>
        <w:right w:val="none" w:sz="0" w:space="0" w:color="auto"/>
      </w:divBdr>
    </w:div>
    <w:div w:id="1525440811">
      <w:bodyDiv w:val="1"/>
      <w:marLeft w:val="0"/>
      <w:marRight w:val="0"/>
      <w:marTop w:val="0"/>
      <w:marBottom w:val="0"/>
      <w:divBdr>
        <w:top w:val="none" w:sz="0" w:space="0" w:color="auto"/>
        <w:left w:val="none" w:sz="0" w:space="0" w:color="auto"/>
        <w:bottom w:val="none" w:sz="0" w:space="0" w:color="auto"/>
        <w:right w:val="none" w:sz="0" w:space="0" w:color="auto"/>
      </w:divBdr>
    </w:div>
    <w:div w:id="1624118094">
      <w:bodyDiv w:val="1"/>
      <w:marLeft w:val="0"/>
      <w:marRight w:val="0"/>
      <w:marTop w:val="0"/>
      <w:marBottom w:val="0"/>
      <w:divBdr>
        <w:top w:val="none" w:sz="0" w:space="0" w:color="auto"/>
        <w:left w:val="none" w:sz="0" w:space="0" w:color="auto"/>
        <w:bottom w:val="none" w:sz="0" w:space="0" w:color="auto"/>
        <w:right w:val="none" w:sz="0" w:space="0" w:color="auto"/>
      </w:divBdr>
    </w:div>
    <w:div w:id="1759053867">
      <w:bodyDiv w:val="1"/>
      <w:marLeft w:val="0"/>
      <w:marRight w:val="0"/>
      <w:marTop w:val="0"/>
      <w:marBottom w:val="0"/>
      <w:divBdr>
        <w:top w:val="none" w:sz="0" w:space="0" w:color="auto"/>
        <w:left w:val="none" w:sz="0" w:space="0" w:color="auto"/>
        <w:bottom w:val="none" w:sz="0" w:space="0" w:color="auto"/>
        <w:right w:val="none" w:sz="0" w:space="0" w:color="auto"/>
      </w:divBdr>
    </w:div>
    <w:div w:id="1768234425">
      <w:bodyDiv w:val="1"/>
      <w:marLeft w:val="0"/>
      <w:marRight w:val="0"/>
      <w:marTop w:val="0"/>
      <w:marBottom w:val="0"/>
      <w:divBdr>
        <w:top w:val="none" w:sz="0" w:space="0" w:color="auto"/>
        <w:left w:val="none" w:sz="0" w:space="0" w:color="auto"/>
        <w:bottom w:val="none" w:sz="0" w:space="0" w:color="auto"/>
        <w:right w:val="none" w:sz="0" w:space="0" w:color="auto"/>
      </w:divBdr>
    </w:div>
    <w:div w:id="1834878930">
      <w:bodyDiv w:val="1"/>
      <w:marLeft w:val="0"/>
      <w:marRight w:val="0"/>
      <w:marTop w:val="0"/>
      <w:marBottom w:val="0"/>
      <w:divBdr>
        <w:top w:val="none" w:sz="0" w:space="0" w:color="auto"/>
        <w:left w:val="none" w:sz="0" w:space="0" w:color="auto"/>
        <w:bottom w:val="none" w:sz="0" w:space="0" w:color="auto"/>
        <w:right w:val="none" w:sz="0" w:space="0" w:color="auto"/>
      </w:divBdr>
    </w:div>
    <w:div w:id="1927107100">
      <w:bodyDiv w:val="1"/>
      <w:marLeft w:val="0"/>
      <w:marRight w:val="0"/>
      <w:marTop w:val="0"/>
      <w:marBottom w:val="0"/>
      <w:divBdr>
        <w:top w:val="none" w:sz="0" w:space="0" w:color="auto"/>
        <w:left w:val="none" w:sz="0" w:space="0" w:color="auto"/>
        <w:bottom w:val="none" w:sz="0" w:space="0" w:color="auto"/>
        <w:right w:val="none" w:sz="0" w:space="0" w:color="auto"/>
      </w:divBdr>
    </w:div>
    <w:div w:id="1932813852">
      <w:bodyDiv w:val="1"/>
      <w:marLeft w:val="0"/>
      <w:marRight w:val="0"/>
      <w:marTop w:val="0"/>
      <w:marBottom w:val="0"/>
      <w:divBdr>
        <w:top w:val="none" w:sz="0" w:space="0" w:color="auto"/>
        <w:left w:val="none" w:sz="0" w:space="0" w:color="auto"/>
        <w:bottom w:val="none" w:sz="0" w:space="0" w:color="auto"/>
        <w:right w:val="none" w:sz="0" w:space="0" w:color="auto"/>
      </w:divBdr>
    </w:div>
    <w:div w:id="2083134438">
      <w:bodyDiv w:val="1"/>
      <w:marLeft w:val="0"/>
      <w:marRight w:val="0"/>
      <w:marTop w:val="0"/>
      <w:marBottom w:val="0"/>
      <w:divBdr>
        <w:top w:val="none" w:sz="0" w:space="0" w:color="auto"/>
        <w:left w:val="none" w:sz="0" w:space="0" w:color="auto"/>
        <w:bottom w:val="none" w:sz="0" w:space="0" w:color="auto"/>
        <w:right w:val="none" w:sz="0" w:space="0" w:color="auto"/>
      </w:divBdr>
    </w:div>
    <w:div w:id="2086682272">
      <w:bodyDiv w:val="1"/>
      <w:marLeft w:val="0"/>
      <w:marRight w:val="0"/>
      <w:marTop w:val="0"/>
      <w:marBottom w:val="0"/>
      <w:divBdr>
        <w:top w:val="none" w:sz="0" w:space="0" w:color="auto"/>
        <w:left w:val="none" w:sz="0" w:space="0" w:color="auto"/>
        <w:bottom w:val="none" w:sz="0" w:space="0" w:color="auto"/>
        <w:right w:val="none" w:sz="0" w:space="0" w:color="auto"/>
      </w:divBdr>
    </w:div>
    <w:div w:id="2102218323">
      <w:bodyDiv w:val="1"/>
      <w:marLeft w:val="0"/>
      <w:marRight w:val="0"/>
      <w:marTop w:val="0"/>
      <w:marBottom w:val="0"/>
      <w:divBdr>
        <w:top w:val="none" w:sz="0" w:space="0" w:color="auto"/>
        <w:left w:val="none" w:sz="0" w:space="0" w:color="auto"/>
        <w:bottom w:val="none" w:sz="0" w:space="0" w:color="auto"/>
        <w:right w:val="none" w:sz="0" w:space="0" w:color="auto"/>
      </w:divBdr>
    </w:div>
    <w:div w:id="2108891734">
      <w:bodyDiv w:val="1"/>
      <w:marLeft w:val="0"/>
      <w:marRight w:val="0"/>
      <w:marTop w:val="0"/>
      <w:marBottom w:val="0"/>
      <w:divBdr>
        <w:top w:val="none" w:sz="0" w:space="0" w:color="auto"/>
        <w:left w:val="none" w:sz="0" w:space="0" w:color="auto"/>
        <w:bottom w:val="none" w:sz="0" w:space="0" w:color="auto"/>
        <w:right w:val="none" w:sz="0" w:space="0" w:color="auto"/>
      </w:divBdr>
    </w:div>
    <w:div w:id="211107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RBI5PAMIO524-1616901215-34391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https://nokia.sharepoint.com/sites/gxp/_layouts/15/DocIdRedir.aspx?ID=RBI5PAMIO524-1616901215-34391</Url>
      <Description>RBI5PAMIO524-1616901215-34391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DCC701-62FD-4C0B-BA4C-A01BC3C8A7C4}">
  <ds:schemaRefs>
    <ds:schemaRef ds:uri="http://schemas.microsoft.com/sharepoint/v3/contenttype/forms"/>
  </ds:schemaRefs>
</ds:datastoreItem>
</file>

<file path=customXml/itemProps2.xml><?xml version="1.0" encoding="utf-8"?>
<ds:datastoreItem xmlns:ds="http://schemas.openxmlformats.org/officeDocument/2006/customXml" ds:itemID="{5AFA28AD-6F72-4174-BC90-00569AE998E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77FE2457-2FFD-443C-9DD3-B33890CC3D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A9BC00-89BB-45E9-90AD-62CD89561D08}">
  <ds:schemaRefs>
    <ds:schemaRef ds:uri="Microsoft.SharePoint.Taxonomy.ContentTypeSync"/>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D7957FE-2E1A-4327-ACF7-0252125C7AA2}">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1375</Words>
  <Characters>7843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9200</CharactersWithSpaces>
  <SharedDoc>false</SharedDoc>
  <HLinks>
    <vt:vector size="48" baseType="variant">
      <vt:variant>
        <vt:i4>6029432</vt:i4>
      </vt:variant>
      <vt:variant>
        <vt:i4>30</vt:i4>
      </vt:variant>
      <vt:variant>
        <vt:i4>0</vt:i4>
      </vt:variant>
      <vt:variant>
        <vt:i4>5</vt:i4>
      </vt:variant>
      <vt:variant>
        <vt:lpwstr>https://www.3gpp.org/ftp/tsg_ran/WG4_Radio/TSGR4_109/Docs</vt:lpwstr>
      </vt:variant>
      <vt:variant>
        <vt:lpwstr/>
      </vt:variant>
      <vt:variant>
        <vt:i4>46</vt:i4>
      </vt:variant>
      <vt:variant>
        <vt:i4>27</vt:i4>
      </vt:variant>
      <vt:variant>
        <vt:i4>0</vt:i4>
      </vt:variant>
      <vt:variant>
        <vt:i4>5</vt:i4>
      </vt:variant>
      <vt:variant>
        <vt:lpwstr>https://www.3gpp.org/ftp/tsg_ran/WG4_Radio/TSGR4_108bis/Docs</vt:lpwstr>
      </vt:variant>
      <vt:variant>
        <vt:lpwstr/>
      </vt:variant>
      <vt:variant>
        <vt:i4>6094968</vt:i4>
      </vt:variant>
      <vt:variant>
        <vt:i4>24</vt:i4>
      </vt:variant>
      <vt:variant>
        <vt:i4>0</vt:i4>
      </vt:variant>
      <vt:variant>
        <vt:i4>5</vt:i4>
      </vt:variant>
      <vt:variant>
        <vt:lpwstr>https://www.3gpp.org/ftp/tsg_ran/WG4_Radio/TSGR4_108/Docs</vt:lpwstr>
      </vt:variant>
      <vt:variant>
        <vt:lpwstr/>
      </vt:variant>
      <vt:variant>
        <vt:i4>5898315</vt:i4>
      </vt:variant>
      <vt:variant>
        <vt:i4>21</vt:i4>
      </vt:variant>
      <vt:variant>
        <vt:i4>0</vt:i4>
      </vt:variant>
      <vt:variant>
        <vt:i4>5</vt:i4>
      </vt:variant>
      <vt:variant>
        <vt:lpwstr>https://whatthespec.net/index.php</vt:lpwstr>
      </vt:variant>
      <vt:variant>
        <vt:lpwstr/>
      </vt:variant>
      <vt:variant>
        <vt:i4>1376315</vt:i4>
      </vt:variant>
      <vt:variant>
        <vt:i4>17</vt:i4>
      </vt:variant>
      <vt:variant>
        <vt:i4>0</vt:i4>
      </vt:variant>
      <vt:variant>
        <vt:i4>5</vt:i4>
      </vt:variant>
      <vt:variant>
        <vt:lpwstr/>
      </vt:variant>
      <vt:variant>
        <vt:lpwstr>_Toc133918805</vt:lpwstr>
      </vt:variant>
      <vt:variant>
        <vt:i4>1376315</vt:i4>
      </vt:variant>
      <vt:variant>
        <vt:i4>14</vt:i4>
      </vt:variant>
      <vt:variant>
        <vt:i4>0</vt:i4>
      </vt:variant>
      <vt:variant>
        <vt:i4>5</vt:i4>
      </vt:variant>
      <vt:variant>
        <vt:lpwstr/>
      </vt:variant>
      <vt:variant>
        <vt:lpwstr>_Toc133918804</vt:lpwstr>
      </vt:variant>
      <vt:variant>
        <vt:i4>1376315</vt:i4>
      </vt:variant>
      <vt:variant>
        <vt:i4>11</vt:i4>
      </vt:variant>
      <vt:variant>
        <vt:i4>0</vt:i4>
      </vt:variant>
      <vt:variant>
        <vt:i4>5</vt:i4>
      </vt:variant>
      <vt:variant>
        <vt:lpwstr/>
      </vt:variant>
      <vt:variant>
        <vt:lpwstr>_Toc133918803</vt:lpwstr>
      </vt:variant>
      <vt:variant>
        <vt:i4>1376315</vt:i4>
      </vt:variant>
      <vt:variant>
        <vt:i4>8</vt:i4>
      </vt:variant>
      <vt:variant>
        <vt:i4>0</vt:i4>
      </vt:variant>
      <vt:variant>
        <vt:i4>5</vt:i4>
      </vt:variant>
      <vt:variant>
        <vt:lpwstr/>
      </vt:variant>
      <vt:variant>
        <vt:lpwstr>_Toc133918802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2024-11-07T21:42:00Z</dcterms:created>
  <dcterms:modified xsi:type="dcterms:W3CDTF">2024-11-08T19:29:00Z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533764f6-8c0a-42fd-9d10-0e2fc737c482</vt:lpwstr>
  </property>
</Properties>
</file>